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D98" w:rsidRDefault="00E568FA">
      <w:pPr>
        <w:spacing w:before="200" w:after="160"/>
        <w:jc w:val="center"/>
      </w:pPr>
      <w:r>
        <w:rPr>
          <w:b/>
          <w:bCs/>
          <w:sz w:val="32"/>
          <w:szCs w:val="32"/>
        </w:rPr>
        <w:t>A Two-Stage Random Forest Ensemble for Condition-Based Fault Detection and Root-Cause Diagnosis in Automobile Engines, with a Deployed Diagnostic Dashboard</w:t>
      </w:r>
    </w:p>
    <w:p w:rsidR="00FF3D98" w:rsidRDefault="00E568FA">
      <w:pPr>
        <w:spacing w:after="40"/>
        <w:jc w:val="center"/>
      </w:pPr>
      <w:proofErr w:type="spellStart"/>
      <w:r>
        <w:rPr>
          <w:sz w:val="24"/>
          <w:szCs w:val="24"/>
        </w:rPr>
        <w:t>Nsikak</w:t>
      </w:r>
      <w:proofErr w:type="spellEnd"/>
      <w:r>
        <w:rPr>
          <w:sz w:val="24"/>
          <w:szCs w:val="24"/>
        </w:rPr>
        <w:t xml:space="preserve"> </w:t>
      </w:r>
      <w:proofErr w:type="spellStart"/>
      <w:r>
        <w:rPr>
          <w:sz w:val="24"/>
          <w:szCs w:val="24"/>
        </w:rPr>
        <w:t>Umurie</w:t>
      </w:r>
      <w:proofErr w:type="spellEnd"/>
    </w:p>
    <w:p w:rsidR="00FF3D98" w:rsidRDefault="00FF3D98">
      <w:pPr>
        <w:spacing w:after="260"/>
        <w:jc w:val="center"/>
      </w:pPr>
    </w:p>
    <w:p w:rsidR="00FF3D98" w:rsidRDefault="00E568FA">
      <w:pPr>
        <w:spacing w:after="80"/>
      </w:pPr>
      <w:r>
        <w:rPr>
          <w:b/>
          <w:bCs/>
          <w:i/>
          <w:iCs/>
        </w:rPr>
        <w:t xml:space="preserve">Abstract. </w:t>
      </w:r>
    </w:p>
    <w:p w:rsidR="00FF3D98" w:rsidRDefault="00BC0BF8" w:rsidP="00BC0BF8">
      <w:pPr>
        <w:spacing w:after="160"/>
        <w:jc w:val="both"/>
      </w:pPr>
      <w:r w:rsidRPr="00BC0BF8">
        <w:rPr>
          <w:i/>
          <w:iCs/>
        </w:rPr>
        <w:t xml:space="preserve">Vehicle owners and mechanics generally connect to </w:t>
      </w:r>
      <w:proofErr w:type="spellStart"/>
      <w:r w:rsidRPr="00BC0BF8">
        <w:rPr>
          <w:i/>
          <w:iCs/>
        </w:rPr>
        <w:t>OBD</w:t>
      </w:r>
      <w:proofErr w:type="spellEnd"/>
      <w:r w:rsidRPr="00BC0BF8">
        <w:rPr>
          <w:i/>
          <w:iCs/>
        </w:rPr>
        <w:t xml:space="preserve">-II data streams, but turning raw </w:t>
      </w:r>
      <w:proofErr w:type="spellStart"/>
      <w:r w:rsidRPr="00BC0BF8">
        <w:rPr>
          <w:i/>
          <w:iCs/>
        </w:rPr>
        <w:t>OBD</w:t>
      </w:r>
      <w:proofErr w:type="spellEnd"/>
      <w:r w:rsidRPr="00BC0BF8">
        <w:rPr>
          <w:i/>
          <w:iCs/>
        </w:rPr>
        <w:t>-II data into an actual engine failure diagnosis usually involves a great deal of experience and guesswork.</w:t>
      </w:r>
      <w:r w:rsidR="00E568FA">
        <w:rPr>
          <w:i/>
          <w:iCs/>
        </w:rPr>
        <w:t xml:space="preserve"> This paper extends an earlier decision-tree-based binary classifier for automobile engine condition detection [9] into an ensemble and gradient-boosting framework evaluated on two datasets, with explicit attention to which input features are realistica</w:t>
      </w:r>
      <w:r w:rsidR="00E568FA">
        <w:rPr>
          <w:i/>
          <w:iCs/>
        </w:rPr>
        <w:t xml:space="preserve">lly obtainable from an </w:t>
      </w:r>
      <w:proofErr w:type="spellStart"/>
      <w:r w:rsidR="00E568FA">
        <w:rPr>
          <w:i/>
          <w:iCs/>
        </w:rPr>
        <w:t>OBD</w:t>
      </w:r>
      <w:proofErr w:type="spellEnd"/>
      <w:r w:rsidR="00E568FA">
        <w:rPr>
          <w:i/>
          <w:iCs/>
        </w:rPr>
        <w:t xml:space="preserve">-II scanner. On the original project's primary dataset (19,535 vehicle-engine records, six sensor parameters, binary good/bad label, all six mapped to standard or common </w:t>
      </w:r>
      <w:proofErr w:type="spellStart"/>
      <w:r w:rsidR="00E568FA">
        <w:rPr>
          <w:i/>
          <w:iCs/>
        </w:rPr>
        <w:t>OBD</w:t>
      </w:r>
      <w:proofErr w:type="spellEnd"/>
      <w:r w:rsidR="00E568FA">
        <w:rPr>
          <w:i/>
          <w:iCs/>
        </w:rPr>
        <w:t>-II/ECU parameters in this paper), a validated Gradient B</w:t>
      </w:r>
      <w:r w:rsidR="00E568FA">
        <w:rPr>
          <w:i/>
          <w:iCs/>
        </w:rPr>
        <w:t>oosting Classifier with a decision threshold tuned on a held-out validation split, never on the test set, raises macro-F1 from 0.607 (the original decision tree) to 0.632 and nearly doubles fault-class recall (34.5% to 63.8%), while confirming Engine RPM a</w:t>
      </w:r>
      <w:r w:rsidR="00E568FA">
        <w:rPr>
          <w:i/>
          <w:iCs/>
        </w:rPr>
        <w:t xml:space="preserve">s the dominant predictor identified in the original study. On </w:t>
      </w:r>
      <w:proofErr w:type="spellStart"/>
      <w:r w:rsidR="00E568FA">
        <w:rPr>
          <w:i/>
          <w:iCs/>
        </w:rPr>
        <w:t>EngineFaultDB</w:t>
      </w:r>
      <w:proofErr w:type="spellEnd"/>
      <w:r w:rsidR="00E568FA">
        <w:rPr>
          <w:i/>
          <w:iCs/>
        </w:rPr>
        <w:t>, a peer-reviewed public dataset of 55,999 real spark-ignition engine readings across four condition classes, a two-stage Random Forest pipeline (detect, then diagnose) achieves 100</w:t>
      </w:r>
      <w:r w:rsidR="00E568FA">
        <w:rPr>
          <w:i/>
          <w:iCs/>
        </w:rPr>
        <w:t xml:space="preserve">.0% accuracy on binary condition detection and 64.8% accuracy on fault-subtype identification, with ROC-AUC exceeding 0.99 for two of three fault classes. </w:t>
      </w:r>
      <w:r w:rsidRPr="00BC0BF8">
        <w:rPr>
          <w:i/>
          <w:iCs/>
        </w:rPr>
        <w:t xml:space="preserve">Our confusion matrix analysis showed that the lean-mixture and the low-ignition-voltage faults are indistinguishable from one another using their steady state sensor characteristics, providing for an immediate future avenue of sensor development. Our two trained models were packaged as a single, browser-only dashboard with two selectable modes, available at the public </w:t>
      </w:r>
      <w:proofErr w:type="spellStart"/>
      <w:r w:rsidRPr="00BC0BF8">
        <w:rPr>
          <w:i/>
          <w:iCs/>
        </w:rPr>
        <w:t>url</w:t>
      </w:r>
      <w:proofErr w:type="spellEnd"/>
      <w:r w:rsidRPr="00BC0BF8">
        <w:rPr>
          <w:i/>
          <w:iCs/>
        </w:rPr>
        <w:t xml:space="preserve"> https://engine-dashboard.netlify.app/. The system requires no installation or internet connection and can be used to provide an engineer with immediate engine condition information, an likely root-cause, and a recommended maintenance inspection checklist from inputted </w:t>
      </w:r>
      <w:proofErr w:type="spellStart"/>
      <w:r w:rsidRPr="00BC0BF8">
        <w:rPr>
          <w:i/>
          <w:iCs/>
        </w:rPr>
        <w:t>OBD</w:t>
      </w:r>
      <w:proofErr w:type="spellEnd"/>
      <w:r w:rsidRPr="00BC0BF8">
        <w:rPr>
          <w:i/>
          <w:iCs/>
        </w:rPr>
        <w:t xml:space="preserve"> </w:t>
      </w:r>
      <w:proofErr w:type="gramStart"/>
      <w:r w:rsidRPr="00BC0BF8">
        <w:rPr>
          <w:i/>
          <w:iCs/>
        </w:rPr>
        <w:t>readings.</w:t>
      </w:r>
      <w:r w:rsidR="00E568FA">
        <w:rPr>
          <w:i/>
          <w:iCs/>
        </w:rPr>
        <w:t>.</w:t>
      </w:r>
      <w:proofErr w:type="gramEnd"/>
    </w:p>
    <w:p w:rsidR="00FF3D98" w:rsidRDefault="00E568FA">
      <w:pPr>
        <w:spacing w:after="260"/>
      </w:pPr>
      <w:r>
        <w:rPr>
          <w:b/>
          <w:bCs/>
          <w:i/>
          <w:iCs/>
        </w:rPr>
        <w:t>I</w:t>
      </w:r>
      <w:r>
        <w:rPr>
          <w:b/>
          <w:bCs/>
          <w:i/>
          <w:iCs/>
        </w:rPr>
        <w:t xml:space="preserve">ndex Terms. </w:t>
      </w:r>
      <w:r>
        <w:rPr>
          <w:i/>
          <w:iCs/>
        </w:rPr>
        <w:t xml:space="preserve">predictive maintenance, </w:t>
      </w:r>
      <w:proofErr w:type="spellStart"/>
      <w:r>
        <w:rPr>
          <w:i/>
          <w:iCs/>
        </w:rPr>
        <w:t>OBD</w:t>
      </w:r>
      <w:proofErr w:type="spellEnd"/>
      <w:r>
        <w:rPr>
          <w:i/>
          <w:iCs/>
        </w:rPr>
        <w:t xml:space="preserve">-II, automobile engine fault diagnosis, Random Forest, gradient boosting, ensemble learning, condition-based monitoring, diagnostic dashboard, </w:t>
      </w:r>
      <w:r>
        <w:rPr>
          <w:i/>
          <w:iCs/>
        </w:rPr>
        <w:t>root-cause analysis.</w:t>
      </w:r>
    </w:p>
    <w:p w:rsidR="00FF3D98" w:rsidRDefault="00FF3D98">
      <w:pPr>
        <w:pStyle w:val="Heading1"/>
      </w:pPr>
    </w:p>
    <w:p w:rsidR="00FF3D98" w:rsidRDefault="00FF3D98">
      <w:pPr>
        <w:pStyle w:val="Heading1"/>
      </w:pPr>
    </w:p>
    <w:p w:rsidR="00FF3D98" w:rsidRDefault="00FF3D98">
      <w:pPr>
        <w:pStyle w:val="Heading1"/>
      </w:pPr>
    </w:p>
    <w:p w:rsidR="00BC0BF8" w:rsidRDefault="00BC0BF8" w:rsidP="00BC0BF8"/>
    <w:p w:rsidR="00BC0BF8" w:rsidRDefault="00BC0BF8" w:rsidP="00BC0BF8"/>
    <w:p w:rsidR="00BC0BF8" w:rsidRDefault="00BC0BF8" w:rsidP="00BC0BF8"/>
    <w:p w:rsidR="00BC0BF8" w:rsidRDefault="00BC0BF8" w:rsidP="00BC0BF8"/>
    <w:p w:rsidR="00BC0BF8" w:rsidRDefault="00BC0BF8" w:rsidP="00BC0BF8"/>
    <w:p w:rsidR="00BC0BF8" w:rsidRDefault="00BC0BF8" w:rsidP="00BC0BF8"/>
    <w:p w:rsidR="00BC0BF8" w:rsidRPr="00BC0BF8" w:rsidRDefault="00BC0BF8" w:rsidP="00BC0BF8"/>
    <w:p w:rsidR="00FF3D98" w:rsidRDefault="00E568FA">
      <w:pPr>
        <w:pStyle w:val="Heading1"/>
      </w:pPr>
      <w:r>
        <w:lastRenderedPageBreak/>
        <w:t>I. Introduction</w:t>
      </w:r>
    </w:p>
    <w:p w:rsidR="00FF3D98" w:rsidRDefault="00E568FA">
      <w:pPr>
        <w:spacing w:after="160"/>
        <w:jc w:val="both"/>
      </w:pPr>
      <w:r>
        <w:t>On-board diagnostic (</w:t>
      </w:r>
      <w:proofErr w:type="spellStart"/>
      <w:r>
        <w:t>OBD</w:t>
      </w:r>
      <w:proofErr w:type="spellEnd"/>
      <w:r>
        <w:t>-II) scanners give vehicle owners and technicians access to a wide range of live engine sensor readings: manifold pressure, throttle position, exhaust gas composition, engine speed, and mor</w:t>
      </w:r>
      <w:r>
        <w:t>e. In practice, however, reading this data is only the first step: converting a set of numeric sensor values into a specific, actionable diagnosis still typically depends on technician experience, frequently supplemented by manual, sequential component tes</w:t>
      </w:r>
      <w:r>
        <w:t xml:space="preserve">ting. </w:t>
      </w:r>
      <w:proofErr w:type="spellStart"/>
      <w:r>
        <w:t>Michailidis</w:t>
      </w:r>
      <w:proofErr w:type="spellEnd"/>
      <w:r>
        <w:t xml:space="preserve"> et al. [2] survey the growing body of </w:t>
      </w:r>
      <w:proofErr w:type="spellStart"/>
      <w:r>
        <w:t>OBD</w:t>
      </w:r>
      <w:proofErr w:type="spellEnd"/>
      <w:r>
        <w:t>-II-based machine learning applications and note that most deployed systems still stop at anomaly flagging rather than root-cause attribution, leaving the diagnostic burden on the technician. Rule-</w:t>
      </w:r>
      <w:r>
        <w:t xml:space="preserve">based and decision-tree expert systems have been proposed to close this gap [3], and ensemble methods such as Random Forest have shown strong results on related vehicle-subsystem fault diagnosis tasks [4], [5], but, to the best of our knowledge, combining </w:t>
      </w:r>
      <w:r>
        <w:t xml:space="preserve">an ensemble classifier with an explicit two-stage detect-then-diagnose architecture and a publicly deployed, zero-install diagnostic interface has not been reported for </w:t>
      </w:r>
      <w:proofErr w:type="spellStart"/>
      <w:r>
        <w:t>OBD</w:t>
      </w:r>
      <w:proofErr w:type="spellEnd"/>
      <w:r>
        <w:t>-derived engine data specifically.</w:t>
      </w:r>
    </w:p>
    <w:p w:rsidR="00FF3D98" w:rsidRDefault="00E568FA">
      <w:pPr>
        <w:spacing w:after="160"/>
        <w:jc w:val="both"/>
      </w:pPr>
      <w:r>
        <w:t>The first phase of this project addressed the det</w:t>
      </w:r>
      <w:r>
        <w:t>ection of half of this problem: a decision-tree classifier trained on aggregated “good” and “bad” engine readings predicted whether a given set of readings indicated a healthy or faulty engine. This paper extends that work along three axes, corresponding t</w:t>
      </w:r>
      <w:r>
        <w:t>o its three contributions:</w:t>
      </w:r>
    </w:p>
    <w:p w:rsidR="00FF3D98" w:rsidRDefault="00E568FA">
      <w:pPr>
        <w:numPr>
          <w:ilvl w:val="0"/>
          <w:numId w:val="1"/>
        </w:numPr>
        <w:pBdr>
          <w:top w:val="nil"/>
          <w:left w:val="nil"/>
          <w:bottom w:val="nil"/>
          <w:right w:val="nil"/>
          <w:between w:val="nil"/>
        </w:pBdr>
        <w:spacing w:after="100"/>
      </w:pPr>
      <w:r>
        <w:rPr>
          <w:color w:val="000000"/>
        </w:rPr>
        <w:t>An advanced ensemble model, Random Forest [6], is benchmarked against the original decision tree method and a Naive Bayes baseline, and is shown to match or exceed the decision tree's accuracy while adding the interpretability (f</w:t>
      </w:r>
      <w:r>
        <w:rPr>
          <w:color w:val="000000"/>
        </w:rPr>
        <w:t>eature importance) needed for root-cause explanation.</w:t>
      </w:r>
    </w:p>
    <w:p w:rsidR="00FF3D98" w:rsidRDefault="00BC0BF8">
      <w:pPr>
        <w:numPr>
          <w:ilvl w:val="0"/>
          <w:numId w:val="1"/>
        </w:numPr>
        <w:pBdr>
          <w:top w:val="nil"/>
          <w:left w:val="nil"/>
          <w:bottom w:val="nil"/>
          <w:right w:val="nil"/>
          <w:between w:val="nil"/>
        </w:pBdr>
        <w:spacing w:after="100"/>
      </w:pPr>
      <w:r w:rsidRPr="00BC0BF8">
        <w:rPr>
          <w:color w:val="000000"/>
        </w:rPr>
        <w:t>The diagnostic problem is restated in terms of a 2-stage pipeline that finds a fault and also returns the most likely class, addressing the "why" question a binary classifier can't, while examining and stating the resultant difficulty asymmetry between the two stages.</w:t>
      </w:r>
    </w:p>
    <w:p w:rsidR="00FF3D98" w:rsidRDefault="00BC0BF8">
      <w:pPr>
        <w:numPr>
          <w:ilvl w:val="0"/>
          <w:numId w:val="1"/>
        </w:numPr>
        <w:pBdr>
          <w:top w:val="nil"/>
          <w:left w:val="nil"/>
          <w:bottom w:val="nil"/>
          <w:right w:val="nil"/>
          <w:between w:val="nil"/>
        </w:pBdr>
        <w:spacing w:after="100"/>
      </w:pPr>
      <w:r w:rsidRPr="00BC0BF8">
        <w:rPr>
          <w:color w:val="000000"/>
        </w:rPr>
        <w:t>The trained model is then compiled into a complete, ready to use, publicly accessible, browser-based diagnostic dashboard (VI), thereby taking our contribution from something recorded on a paper form or in a lab book to a tool which can be readily deployed by an engineer.</w:t>
      </w:r>
    </w:p>
    <w:p w:rsidR="00FF3D98" w:rsidRDefault="00BC0BF8">
      <w:pPr>
        <w:numPr>
          <w:ilvl w:val="0"/>
          <w:numId w:val="1"/>
        </w:numPr>
        <w:pBdr>
          <w:top w:val="nil"/>
          <w:left w:val="nil"/>
          <w:bottom w:val="nil"/>
          <w:right w:val="nil"/>
          <w:between w:val="nil"/>
        </w:pBdr>
        <w:spacing w:after="100"/>
      </w:pPr>
      <w:r w:rsidRPr="00BC0BF8">
        <w:rPr>
          <w:color w:val="000000"/>
        </w:rPr>
        <w:t xml:space="preserve">We then apply a gradient-boosted enhancement, with a decision threshold set only based on a separate validation subset, solely targeting the six-parameter hard and more realistic six-parameter problem of our main dataset (Section V-G) to remove the caveat found in a previous version of this paper and boost fault-class recall without training information from the test set (Section III-D presents the subset of the input features that would typically be accessible via a generic </w:t>
      </w:r>
      <w:proofErr w:type="spellStart"/>
      <w:r w:rsidRPr="00BC0BF8">
        <w:rPr>
          <w:color w:val="000000"/>
        </w:rPr>
        <w:t>OBD</w:t>
      </w:r>
      <w:proofErr w:type="spellEnd"/>
      <w:r w:rsidRPr="00BC0BF8">
        <w:rPr>
          <w:color w:val="000000"/>
        </w:rPr>
        <w:t>-II reader).</w:t>
      </w:r>
    </w:p>
    <w:p w:rsidR="00FF3D98" w:rsidRDefault="00E568FA">
      <w:pPr>
        <w:spacing w:after="160"/>
        <w:jc w:val="both"/>
      </w:pPr>
      <w:r>
        <w:t xml:space="preserve">This paper is a direct </w:t>
      </w:r>
      <w:r>
        <w:t>continuation of an earlier undergraduate dissertation, “Development of a Decision Tree-Based Predictive Model for Condition-Based Fault Detection in Automobile Engines” [9], which identified that conventional fault-identification approaches “rely on residu</w:t>
      </w:r>
      <w:r>
        <w:t>al knowledge, which can be outdated and prone to mistakes,” and set out to build a decision-tree model able to classify engine condition as good or bad and to surface the specific parameter(s) responsible for a bad reading. Its own recommendations for futu</w:t>
      </w:r>
      <w:r>
        <w:t>re work explicitly called for testing “other methods… like Discriminant Analysis, Support Vector Machines, Naive Bayes Classifiers, Logistic Regression, nearest neighbours, and neural network classifiers” to improve on the decision tree's accuracy, and for</w:t>
      </w:r>
      <w:r>
        <w:t xml:space="preserve"> pairing the model with </w:t>
      </w:r>
      <w:proofErr w:type="spellStart"/>
      <w:r>
        <w:t>OBD</w:t>
      </w:r>
      <w:proofErr w:type="spellEnd"/>
      <w:r>
        <w:t xml:space="preserve">-II scanners in practice. </w:t>
      </w:r>
      <w:r w:rsidR="00BC0BF8" w:rsidRPr="00BC0BF8">
        <w:t xml:space="preserve">We explicitly addressed these two recommendations: Table V-G in Section V-G shows re- benchmarking ensemble and gradient boosting algorithms against the base decision tree over the exact same training and testing data; Table III-D in Section III-D show the </w:t>
      </w:r>
      <w:proofErr w:type="spellStart"/>
      <w:r w:rsidR="00BC0BF8" w:rsidRPr="00BC0BF8">
        <w:t>OBD</w:t>
      </w:r>
      <w:proofErr w:type="spellEnd"/>
      <w:r w:rsidR="00BC0BF8" w:rsidRPr="00BC0BF8">
        <w:t xml:space="preserve">-II/ECU availability for each of the features we use; and Section VI explain our current </w:t>
      </w:r>
      <w:proofErr w:type="spellStart"/>
      <w:r w:rsidR="00BC0BF8" w:rsidRPr="00BC0BF8">
        <w:t>OBD</w:t>
      </w:r>
      <w:proofErr w:type="spellEnd"/>
      <w:r w:rsidR="00BC0BF8" w:rsidRPr="00BC0BF8">
        <w:t>-facing deployment and mode tailored for the feature set used in a field setting.</w:t>
      </w:r>
    </w:p>
    <w:p w:rsidR="00BC0BF8" w:rsidRDefault="00BC0BF8">
      <w:pPr>
        <w:spacing w:after="160"/>
        <w:jc w:val="both"/>
      </w:pPr>
    </w:p>
    <w:p w:rsidR="00FF3D98" w:rsidRDefault="00E568FA">
      <w:pPr>
        <w:pStyle w:val="Heading1"/>
      </w:pPr>
      <w:r>
        <w:lastRenderedPageBreak/>
        <w:t>II. Related Work</w:t>
      </w:r>
    </w:p>
    <w:p w:rsidR="00FF3D98" w:rsidRDefault="00E568FA">
      <w:pPr>
        <w:pStyle w:val="Heading2"/>
      </w:pPr>
      <w:r>
        <w:t xml:space="preserve">A. </w:t>
      </w:r>
      <w:proofErr w:type="spellStart"/>
      <w:r>
        <w:t>OBD</w:t>
      </w:r>
      <w:proofErr w:type="spellEnd"/>
      <w:r>
        <w:t>-II-based diagnostics and machine learning</w:t>
      </w:r>
    </w:p>
    <w:p w:rsidR="00FF3D98" w:rsidRDefault="00BC0BF8">
      <w:pPr>
        <w:spacing w:after="160"/>
        <w:jc w:val="both"/>
      </w:pPr>
      <w:proofErr w:type="spellStart"/>
      <w:r w:rsidRPr="00BC0BF8">
        <w:t>Michailidis</w:t>
      </w:r>
      <w:proofErr w:type="spellEnd"/>
      <w:r w:rsidRPr="00BC0BF8">
        <w:t xml:space="preserve">, </w:t>
      </w:r>
      <w:proofErr w:type="spellStart"/>
      <w:r w:rsidRPr="00BC0BF8">
        <w:t>Panagiotopoulou</w:t>
      </w:r>
      <w:proofErr w:type="spellEnd"/>
      <w:r w:rsidRPr="00BC0BF8">
        <w:t xml:space="preserve">, and Papadakis [2] present a survey of </w:t>
      </w:r>
      <w:proofErr w:type="spellStart"/>
      <w:r w:rsidRPr="00BC0BF8">
        <w:t>OBD</w:t>
      </w:r>
      <w:proofErr w:type="spellEnd"/>
      <w:r w:rsidRPr="00BC0BF8">
        <w:t>-II machine learning, covering sustainability, efficiency, security and safety as applications and consider condition based fault diagnosis where traditional tabular machine learning models (trees, ensembles, Bayesian methods) dominate as more interpretable and effective in comparison to machine learning deep learning methods where interpretability is reduced to the gain of small accuracies improvements on saturated detection problems.</w:t>
      </w:r>
    </w:p>
    <w:p w:rsidR="00FF3D98" w:rsidRDefault="00E568FA">
      <w:pPr>
        <w:pStyle w:val="Heading2"/>
      </w:pPr>
      <w:r>
        <w:t>B. Decision-t</w:t>
      </w:r>
      <w:r>
        <w:t>ree and knowledge-based diagnostic systems</w:t>
      </w:r>
    </w:p>
    <w:p w:rsidR="00FF3D98" w:rsidRDefault="00BC0BF8">
      <w:pPr>
        <w:spacing w:after="160"/>
        <w:jc w:val="both"/>
      </w:pPr>
      <w:r w:rsidRPr="00BC0BF8">
        <w:t xml:space="preserve">The use of a tree structure for fault diagnosis is reinforced by the contribution of </w:t>
      </w:r>
      <w:proofErr w:type="spellStart"/>
      <w:r w:rsidRPr="00BC0BF8">
        <w:t>Prez-Vzquez</w:t>
      </w:r>
      <w:proofErr w:type="spellEnd"/>
      <w:r w:rsidRPr="00BC0BF8">
        <w:t xml:space="preserve">, </w:t>
      </w:r>
      <w:proofErr w:type="spellStart"/>
      <w:r w:rsidRPr="00BC0BF8">
        <w:t>Anzures-Garca</w:t>
      </w:r>
      <w:proofErr w:type="spellEnd"/>
      <w:r w:rsidRPr="00BC0BF8">
        <w:t xml:space="preserve">, and </w:t>
      </w:r>
      <w:proofErr w:type="spellStart"/>
      <w:r w:rsidRPr="00BC0BF8">
        <w:t>Snchez-Glvez</w:t>
      </w:r>
      <w:proofErr w:type="spellEnd"/>
      <w:r w:rsidRPr="00BC0BF8">
        <w:t xml:space="preserve"> [3], where they introduce a diagnosis based on a decision tree associated with a symbolic knowledge base for vehicular engine fault diagnosis. The approach takes advantage of the explicitness of the decisions offered by decision tree algorithms, a concept which this dashboard's explanatory module similarly benefits from.</w:t>
      </w:r>
    </w:p>
    <w:p w:rsidR="00FF3D98" w:rsidRDefault="00E568FA">
      <w:pPr>
        <w:pStyle w:val="Heading2"/>
      </w:pPr>
      <w:r>
        <w:t>C. Ensemble methods for vehicle subsystem diagnosis</w:t>
      </w:r>
    </w:p>
    <w:p w:rsidR="00FF3D98" w:rsidRDefault="00E568FA">
      <w:pPr>
        <w:spacing w:after="160"/>
        <w:jc w:val="both"/>
      </w:pPr>
      <w:r>
        <w:t>Quan, Zhang, and Feng [4] apply</w:t>
      </w:r>
      <w:r>
        <w:t xml:space="preserve"> a genetic-algorithm-optimized Random Forest to remote fault diagnosis of fuel-cell vehicle powertrains, reporting strong classification performance across eight fault types from CAN-bus telemetry, and Hossain, Rahman, and Ramasamy [5] review the broader l</w:t>
      </w:r>
      <w:r>
        <w:t>andscape of AI-driven vehicle fault diagnosis, concluding that ensemble tree methods offer the best accuracy-to-interpretability trade-off for maintenance-facing deployments, as opposed to research-facing benchmarking exercises. This paper's model choice (</w:t>
      </w:r>
      <w:r>
        <w:t>Section IV-C) is directly motivated by that conclusion.</w:t>
      </w:r>
    </w:p>
    <w:p w:rsidR="00FF3D98" w:rsidRDefault="00E568FA">
      <w:pPr>
        <w:pStyle w:val="Heading2"/>
      </w:pPr>
      <w:r>
        <w:t>D. Foundational classifier methodology</w:t>
      </w:r>
    </w:p>
    <w:p w:rsidR="00FF3D98" w:rsidRDefault="00E568FA">
      <w:pPr>
        <w:spacing w:after="160"/>
        <w:jc w:val="both"/>
      </w:pPr>
      <w:r>
        <w:t>The classifiers benchmarked in this paper are grounded in established methodology: CART decision trees [7], Random Forest bagging with per-split feature subsampl</w:t>
      </w:r>
      <w:r>
        <w:t>ing [6], and Gaussian Naive Bayes with continuous-feature density estimation [8]. Full mathematical formulations are given in Section IV.</w:t>
      </w:r>
    </w:p>
    <w:p w:rsidR="00FF3D98" w:rsidRDefault="00E568FA">
      <w:pPr>
        <w:pStyle w:val="Heading2"/>
      </w:pPr>
      <w:r>
        <w:t>E. Predictive maintenance methodology</w:t>
      </w:r>
    </w:p>
    <w:p w:rsidR="00FF3D98" w:rsidRDefault="00E568FA">
      <w:pPr>
        <w:spacing w:after="160"/>
        <w:jc w:val="both"/>
      </w:pPr>
      <w:r>
        <w:t>Carvalho et al. [10] systematically review machine learning methods applied to p</w:t>
      </w:r>
      <w:r>
        <w:t>redictive maintenance across industries and find decision trees and random forests among the most frequently applied and best-performing families for tabular sensor data, while cautioning that reported accuracy is highly sensitive to class balance, directl</w:t>
      </w:r>
      <w:r>
        <w:t xml:space="preserve">y relevant to Section V-G, where class imbalance materially affects fault-class recall on the primary dataset. </w:t>
      </w:r>
      <w:r w:rsidR="002758C0" w:rsidRPr="002758C0">
        <w:t xml:space="preserve">The foundation for machinery diagnostics and prognosis within CBM was introduced by Jardine, Lin, and </w:t>
      </w:r>
      <w:proofErr w:type="spellStart"/>
      <w:r w:rsidR="002758C0" w:rsidRPr="002758C0">
        <w:t>Banjevic</w:t>
      </w:r>
      <w:proofErr w:type="spellEnd"/>
      <w:r w:rsidR="002758C0" w:rsidRPr="002758C0">
        <w:t xml:space="preserve"> [11], whose three classic sub-problems for this paper-fault detection, isolation and severity estimation-formed the basis of the two-stage approach of this work (see Sec. IV-A).</w:t>
      </w:r>
    </w:p>
    <w:p w:rsidR="00FF3D98" w:rsidRDefault="00E568FA">
      <w:pPr>
        <w:pStyle w:val="Heading2"/>
      </w:pPr>
      <w:r>
        <w:t xml:space="preserve">F. Positioning relative to </w:t>
      </w:r>
      <w:proofErr w:type="spellStart"/>
      <w:r>
        <w:t>EngineFaultDB</w:t>
      </w:r>
      <w:proofErr w:type="spellEnd"/>
      <w:r>
        <w:t xml:space="preserve"> and the original thesis</w:t>
      </w:r>
    </w:p>
    <w:p w:rsidR="00FF3D98" w:rsidRDefault="002758C0">
      <w:pPr>
        <w:spacing w:after="160"/>
        <w:jc w:val="both"/>
      </w:pPr>
      <w:r w:rsidRPr="002758C0">
        <w:t xml:space="preserve">This work uses </w:t>
      </w:r>
      <w:proofErr w:type="spellStart"/>
      <w:r w:rsidRPr="002758C0">
        <w:t>EngineFaultDB</w:t>
      </w:r>
      <w:proofErr w:type="spellEnd"/>
      <w:r w:rsidRPr="002758C0">
        <w:t xml:space="preserve"> [1], the first publicly available, peer-reviewed dataset developed specifically for automotive engine fault classification. The initial </w:t>
      </w:r>
      <w:proofErr w:type="spellStart"/>
      <w:r w:rsidRPr="002758C0">
        <w:t>EngineFaultDB</w:t>
      </w:r>
      <w:proofErr w:type="spellEnd"/>
      <w:r w:rsidRPr="002758C0">
        <w:t xml:space="preserve"> paper presented baseline accuracy for logistic regression, decision tree, random forest, </w:t>
      </w:r>
      <w:proofErr w:type="spellStart"/>
      <w:r w:rsidRPr="002758C0">
        <w:t>SVM</w:t>
      </w:r>
      <w:proofErr w:type="spellEnd"/>
      <w:r w:rsidRPr="002758C0">
        <w:t>, k-nearest neighbours, and a feed-forward neural network classifier on the 4-class problem presented herein, producing a dataset-level reference performance benchmark.</w:t>
      </w:r>
      <w:r w:rsidR="00E568FA">
        <w:t xml:space="preserve"> It also uses the original project's primary dataset [9], [12] (19,535 engine sensor readings labelled good/bad) on which the orig</w:t>
      </w:r>
      <w:r w:rsidR="00E568FA">
        <w:t xml:space="preserve">inal thesis [9] itself compared twenty MATLAB Classification Learner configurations (Table VII) and found that ensemble methods (Boosted Trees, 66.5%) already outperformed every single decision tree variant tested (best: 65.7%), a finding this paper </w:t>
      </w:r>
      <w:r w:rsidR="00E568FA">
        <w:lastRenderedPageBreak/>
        <w:t>indepe</w:t>
      </w:r>
      <w:r w:rsidR="00E568FA">
        <w:t xml:space="preserve">ndently confirms and extends with a full precision/recall/F1/ROC evaluation (Section V-G). This paper builds on both foundations but differs in aim and contribution: rather than benchmarking classifiers in isolation, it (a) reframes the </w:t>
      </w:r>
      <w:proofErr w:type="spellStart"/>
      <w:r w:rsidR="00E568FA">
        <w:t>EngineFaultDB</w:t>
      </w:r>
      <w:proofErr w:type="spellEnd"/>
      <w:r w:rsidR="00E568FA">
        <w:t xml:space="preserve"> task </w:t>
      </w:r>
      <w:r w:rsidR="00E568FA">
        <w:t>as a two-stage detect-then-diagnose pipeline that mirrors real inspection workflow and exposes a difficulty asymmetry the original single-model benchmarks did not surface, (b) applies class-balanced ensemble learning and a validation-tuned gradient boostin</w:t>
      </w:r>
      <w:r w:rsidR="00E568FA">
        <w:t>g classifier to the primary dataset to address the class-imbalance limitation implicit in the original thesis's per-class results, and (c) translates the resulting models into a publicly deployed, dependency-free diagnostic tool with an explicit accounting</w:t>
      </w:r>
      <w:r w:rsidR="00E568FA">
        <w:t xml:space="preserve"> of which inputs are realistically available from a generic </w:t>
      </w:r>
      <w:proofErr w:type="spellStart"/>
      <w:r w:rsidR="00E568FA">
        <w:t>OBD</w:t>
      </w:r>
      <w:proofErr w:type="spellEnd"/>
      <w:r w:rsidR="00E568FA">
        <w:t>-II scanner (Sections III-D and VI).</w:t>
      </w:r>
    </w:p>
    <w:p w:rsidR="00FF3D98" w:rsidRDefault="00E568FA">
      <w:pPr>
        <w:pStyle w:val="Heading1"/>
      </w:pPr>
      <w:r>
        <w:t xml:space="preserve">III. Dataset and </w:t>
      </w:r>
      <w:proofErr w:type="spellStart"/>
      <w:r>
        <w:t>Preprocessing</w:t>
      </w:r>
      <w:proofErr w:type="spellEnd"/>
    </w:p>
    <w:p w:rsidR="00FF3D98" w:rsidRDefault="00E568FA">
      <w:pPr>
        <w:pStyle w:val="Heading2"/>
      </w:pPr>
      <w:r>
        <w:t>A. Primary dataset</w:t>
      </w:r>
    </w:p>
    <w:p w:rsidR="00FF3D98" w:rsidRDefault="002758C0">
      <w:pPr>
        <w:spacing w:after="160"/>
        <w:jc w:val="both"/>
      </w:pPr>
      <w:r w:rsidRPr="002758C0">
        <w:t>The original thesis [9] takes as a secondary (i.e. pre-existing, third party) dataset an automotive engine health dataset whose sensor readings are publicly available on the Kaggle blog [12] and contain a binary Engine Condition: GOOD (coded 1) or BAD (coded 0) for each of 19,535 sensor readings for six continuous engine parameters. In this paper, the same data set is used. Its structure is summarized in Table I: there are 12,317 GOOD (63.1%) and 7,218 BAD (36.9%) readings, a moderate class imbalance that, as Section V-G demonstrates, in itself has a significant impact on fault-class detection unless addressed.</w:t>
      </w:r>
    </w:p>
    <w:p w:rsidR="00FF3D98" w:rsidRDefault="00E568FA">
      <w:pPr>
        <w:spacing w:after="240"/>
        <w:jc w:val="center"/>
      </w:pPr>
      <w:r>
        <w:rPr>
          <w:i/>
          <w:iCs/>
          <w:sz w:val="20"/>
          <w:szCs w:val="20"/>
        </w:rPr>
        <w:t xml:space="preserve">TABLE I.  Primary dataset feature set (n = 19,535), with </w:t>
      </w:r>
      <w:proofErr w:type="spellStart"/>
      <w:r>
        <w:rPr>
          <w:i/>
          <w:iCs/>
          <w:sz w:val="20"/>
          <w:szCs w:val="20"/>
        </w:rPr>
        <w:t>OBD</w:t>
      </w:r>
      <w:proofErr w:type="spellEnd"/>
      <w:r>
        <w:rPr>
          <w:i/>
          <w:iCs/>
          <w:sz w:val="20"/>
          <w:szCs w:val="20"/>
        </w:rPr>
        <w:t>-II/ECU availability</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900"/>
        <w:gridCol w:w="3660"/>
        <w:gridCol w:w="3000"/>
      </w:tblGrid>
      <w:tr w:rsidR="00FF3D98">
        <w:trPr>
          <w:tblHeader/>
        </w:trPr>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Feature</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Symbol</w:t>
            </w:r>
          </w:p>
        </w:tc>
        <w:tc>
          <w:tcPr>
            <w:tcW w:w="3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Description</w:t>
            </w:r>
          </w:p>
        </w:tc>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rPr>
                <w:b/>
                <w:bCs/>
                <w:color w:val="000000"/>
              </w:rPr>
              <w:t>OBD</w:t>
            </w:r>
            <w:proofErr w:type="spellEnd"/>
            <w:r>
              <w:rPr>
                <w:b/>
                <w:bCs/>
                <w:color w:val="000000"/>
              </w:rPr>
              <w:t>-II / ECU availability</w:t>
            </w:r>
          </w:p>
        </w:tc>
      </w:tr>
      <w:tr w:rsidR="00FF3D98">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Engine rpm</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w:t>
            </w:r>
          </w:p>
        </w:tc>
        <w:tc>
          <w:tcPr>
            <w:tcW w:w="3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Engine speed, revolutions per minute</w:t>
            </w:r>
          </w:p>
        </w:tc>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Standard </w:t>
            </w:r>
            <w:proofErr w:type="spellStart"/>
            <w:r>
              <w:t>PID</w:t>
            </w:r>
            <w:proofErr w:type="spellEnd"/>
            <w:r>
              <w:t xml:space="preserve"> 0x0C (SAE J1979)</w:t>
            </w:r>
          </w:p>
        </w:tc>
      </w:tr>
      <w:tr w:rsidR="00FF3D98">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Fuel pressure</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FP</w:t>
            </w:r>
          </w:p>
        </w:tc>
        <w:tc>
          <w:tcPr>
            <w:tcW w:w="3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Fuel delivery line pressure</w:t>
            </w:r>
          </w:p>
        </w:tc>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Standard </w:t>
            </w:r>
            <w:proofErr w:type="spellStart"/>
            <w:r>
              <w:t>PID</w:t>
            </w:r>
            <w:proofErr w:type="spellEnd"/>
            <w:r>
              <w:t xml:space="preserve"> 0x0A (SAE J1979, gauge pressure)</w:t>
            </w:r>
          </w:p>
        </w:tc>
      </w:tr>
      <w:tr w:rsidR="00FF3D98">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Lub</w:t>
            </w:r>
            <w:proofErr w:type="spellEnd"/>
            <w:r>
              <w:t xml:space="preserve"> oil pressure</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LOP</w:t>
            </w:r>
          </w:p>
        </w:tc>
        <w:tc>
          <w:tcPr>
            <w:tcW w:w="3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Lubricant oil pressure</w:t>
            </w:r>
          </w:p>
        </w:tc>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Not a standard </w:t>
            </w:r>
            <w:proofErr w:type="spellStart"/>
            <w:r>
              <w:t>PID</w:t>
            </w:r>
            <w:proofErr w:type="spellEnd"/>
            <w:r>
              <w:t xml:space="preserve">; manufacturer-specific </w:t>
            </w:r>
            <w:proofErr w:type="spellStart"/>
            <w:r>
              <w:t>PID</w:t>
            </w:r>
            <w:proofErr w:type="spellEnd"/>
            <w:r>
              <w:t xml:space="preserve"> or aftermarket sender</w:t>
            </w:r>
          </w:p>
        </w:tc>
      </w:tr>
      <w:tr w:rsidR="00FF3D98">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lub</w:t>
            </w:r>
            <w:proofErr w:type="spellEnd"/>
            <w:r>
              <w:t xml:space="preserve"> oil temp</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LOT</w:t>
            </w:r>
          </w:p>
        </w:tc>
        <w:tc>
          <w:tcPr>
            <w:tcW w:w="3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Lubricant oil temperature</w:t>
            </w:r>
          </w:p>
        </w:tc>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Not a standard </w:t>
            </w:r>
            <w:proofErr w:type="spellStart"/>
            <w:r>
              <w:t>PID</w:t>
            </w:r>
            <w:proofErr w:type="spellEnd"/>
            <w:r>
              <w:t xml:space="preserve">; manufacturer-specific </w:t>
            </w:r>
            <w:proofErr w:type="spellStart"/>
            <w:r>
              <w:t>PID</w:t>
            </w:r>
            <w:proofErr w:type="spellEnd"/>
            <w:r>
              <w:t xml:space="preserve"> or aftermarket sender</w:t>
            </w:r>
          </w:p>
        </w:tc>
      </w:tr>
      <w:tr w:rsidR="00FF3D98">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Coolant temp</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CT</w:t>
            </w:r>
          </w:p>
        </w:tc>
        <w:tc>
          <w:tcPr>
            <w:tcW w:w="3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Engine coolant temperature</w:t>
            </w:r>
          </w:p>
        </w:tc>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Standard </w:t>
            </w:r>
            <w:proofErr w:type="spellStart"/>
            <w:r>
              <w:t>PID</w:t>
            </w:r>
            <w:proofErr w:type="spellEnd"/>
            <w:r>
              <w:t xml:space="preserve"> 0x05 (SAE J1979)</w:t>
            </w:r>
          </w:p>
        </w:tc>
      </w:tr>
      <w:tr w:rsidR="00FF3D98">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Coolant pressure</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CP</w:t>
            </w:r>
          </w:p>
        </w:tc>
        <w:tc>
          <w:tcPr>
            <w:tcW w:w="3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Engine coolant system pressure</w:t>
            </w:r>
          </w:p>
        </w:tc>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Not a standard </w:t>
            </w:r>
            <w:proofErr w:type="spellStart"/>
            <w:r>
              <w:t>PID</w:t>
            </w:r>
            <w:proofErr w:type="spellEnd"/>
            <w:r>
              <w:t>; aftermarket sender</w:t>
            </w:r>
          </w:p>
        </w:tc>
      </w:tr>
      <w:tr w:rsidR="00FF3D98">
        <w:tc>
          <w:tcPr>
            <w:tcW w:w="18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Engine Condition (label)</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EC</w:t>
            </w:r>
          </w:p>
        </w:tc>
        <w:tc>
          <w:tcPr>
            <w:tcW w:w="3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 = Good, 0 = Bad</w:t>
            </w:r>
          </w:p>
        </w:tc>
        <w:tc>
          <w:tcPr>
            <w:tcW w:w="3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Target label, not a sensor reading</w:t>
            </w:r>
          </w:p>
        </w:tc>
      </w:tr>
    </w:tbl>
    <w:p w:rsidR="002758C0" w:rsidRDefault="002758C0" w:rsidP="002758C0">
      <w:pPr>
        <w:spacing w:after="160"/>
        <w:jc w:val="both"/>
      </w:pPr>
      <w:r>
        <w:t xml:space="preserve">Four of these six inputs can be retrieved from any generic </w:t>
      </w:r>
      <w:proofErr w:type="spellStart"/>
      <w:r>
        <w:t>OBD</w:t>
      </w:r>
      <w:proofErr w:type="spellEnd"/>
      <w:r>
        <w:t>-II scanner, while the other two (oil pressure and coolant pressure) are standard and can be found on most vehicles, but may not be available in all. Real world deployment implications of this availability pattern are discussed in Section III-D.</w:t>
      </w:r>
    </w:p>
    <w:p w:rsidR="00FF3D98" w:rsidRDefault="002758C0" w:rsidP="002758C0">
      <w:pPr>
        <w:spacing w:after="160"/>
        <w:jc w:val="both"/>
      </w:pPr>
      <w:r>
        <w:lastRenderedPageBreak/>
        <w:t>The methodology of the original thesis was followed in pre-processing: rows that had missing data were dropped leading to no distortions in the inter-variable relationships; statistical outlier removal was performed; no smoothing (moving-average/spline) was required because there was no material noise within the dataset. In this paper, that cleaned dataset is reused unchanged, thus the results in Section V-G are directly comparable to those reported in the original thesis.</w:t>
      </w:r>
    </w:p>
    <w:p w:rsidR="00FF3D98" w:rsidRDefault="00E568FA">
      <w:pPr>
        <w:pStyle w:val="Heading2"/>
      </w:pPr>
      <w:r>
        <w:t xml:space="preserve">B. Secondary dataset: </w:t>
      </w:r>
      <w:proofErr w:type="spellStart"/>
      <w:r>
        <w:t>EngineFaul</w:t>
      </w:r>
      <w:r>
        <w:t>tDB</w:t>
      </w:r>
      <w:proofErr w:type="spellEnd"/>
    </w:p>
    <w:p w:rsidR="00FF3D98" w:rsidRDefault="00066263">
      <w:pPr>
        <w:spacing w:after="160"/>
        <w:jc w:val="both"/>
      </w:pPr>
      <w:r w:rsidRPr="00066263">
        <w:t xml:space="preserve">In order to assess our </w:t>
      </w:r>
      <w:proofErr w:type="spellStart"/>
      <w:r w:rsidRPr="00066263">
        <w:t>modeling</w:t>
      </w:r>
      <w:proofErr w:type="spellEnd"/>
      <w:r w:rsidRPr="00066263">
        <w:t xml:space="preserve"> method using an independent, published data set, we employ data from the </w:t>
      </w:r>
      <w:proofErr w:type="spellStart"/>
      <w:r w:rsidRPr="00066263">
        <w:t>EngineFaultDB</w:t>
      </w:r>
      <w:proofErr w:type="spellEnd"/>
      <w:r w:rsidRPr="00066263">
        <w:t xml:space="preserve"> [1]. </w:t>
      </w:r>
      <w:proofErr w:type="spellStart"/>
      <w:r w:rsidRPr="00066263">
        <w:t>EngineFaultDB</w:t>
      </w:r>
      <w:proofErr w:type="spellEnd"/>
      <w:r w:rsidRPr="00066263">
        <w:t xml:space="preserve"> consists of readings taken on a C14NE spark-ignition engine in a controlled laboratory setting and the gas composition data captured using an NGA 6000 gas </w:t>
      </w:r>
      <w:proofErr w:type="spellStart"/>
      <w:r w:rsidRPr="00066263">
        <w:t>analyzer</w:t>
      </w:r>
      <w:proofErr w:type="spellEnd"/>
      <w:r w:rsidRPr="00066263">
        <w:t>. A National Instruments USB-6008 data acquisition device was used to store the data, which consist of 55,999 individual readings for the 14 continuous variables (Table I). All feature readings belong to one of the four class categories (Table II) and none were found to be missing.</w:t>
      </w:r>
    </w:p>
    <w:p w:rsidR="00FF3D98" w:rsidRDefault="00E568FA">
      <w:pPr>
        <w:spacing w:after="240"/>
        <w:jc w:val="center"/>
      </w:pPr>
      <w:r>
        <w:rPr>
          <w:i/>
          <w:iCs/>
          <w:sz w:val="20"/>
          <w:szCs w:val="20"/>
        </w:rPr>
        <w:t>TABLE II.  Feature set used for classifi</w:t>
      </w:r>
      <w:r>
        <w:rPr>
          <w:i/>
          <w:iCs/>
          <w:sz w:val="20"/>
          <w:szCs w:val="20"/>
        </w:rPr>
        <w:t>cation (</w:t>
      </w:r>
      <w:proofErr w:type="spellStart"/>
      <w:r>
        <w:rPr>
          <w:i/>
          <w:iCs/>
          <w:sz w:val="20"/>
          <w:szCs w:val="20"/>
        </w:rPr>
        <w:t>EngineFaultDB</w:t>
      </w:r>
      <w:proofErr w:type="spellEnd"/>
      <w:r>
        <w:rPr>
          <w:i/>
          <w:iCs/>
          <w:sz w:val="20"/>
          <w:szCs w:val="20"/>
        </w:rPr>
        <w:t xml:space="preserve">), with </w:t>
      </w:r>
      <w:proofErr w:type="spellStart"/>
      <w:r>
        <w:rPr>
          <w:i/>
          <w:iCs/>
          <w:sz w:val="20"/>
          <w:szCs w:val="20"/>
        </w:rPr>
        <w:t>OBD</w:t>
      </w:r>
      <w:proofErr w:type="spellEnd"/>
      <w:r>
        <w:rPr>
          <w:i/>
          <w:iCs/>
          <w:sz w:val="20"/>
          <w:szCs w:val="20"/>
        </w:rPr>
        <w:t>-II/ECU availability</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900"/>
        <w:gridCol w:w="3760"/>
        <w:gridCol w:w="3200"/>
      </w:tblGrid>
      <w:tr w:rsidR="00FF3D98">
        <w:trPr>
          <w:tblHeader/>
        </w:trPr>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Feature</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Unit</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Description</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rPr>
                <w:b/>
                <w:bCs/>
                <w:color w:val="000000"/>
              </w:rPr>
              <w:t>OBD</w:t>
            </w:r>
            <w:proofErr w:type="spellEnd"/>
            <w:r>
              <w:rPr>
                <w:b/>
                <w:bCs/>
                <w:color w:val="000000"/>
              </w:rPr>
              <w:t>-II / ECU availability</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MAP</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kPa</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Manifold Absolute Pressure</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Standard </w:t>
            </w:r>
            <w:proofErr w:type="spellStart"/>
            <w:r>
              <w:t>PID</w:t>
            </w:r>
            <w:proofErr w:type="spellEnd"/>
            <w:r>
              <w:t xml:space="preserve"> 0x0B (SAE J1979)</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TPS</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Throttle Position Sensor reading</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Standard </w:t>
            </w:r>
            <w:proofErr w:type="spellStart"/>
            <w:r>
              <w:t>PID</w:t>
            </w:r>
            <w:proofErr w:type="spellEnd"/>
            <w:r>
              <w:t xml:space="preserve"> 0x11 (SAE J1979)</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Force</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N</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Engine torque / rotational force</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Not available via </w:t>
            </w:r>
            <w:proofErr w:type="spellStart"/>
            <w:r>
              <w:t>OBD</w:t>
            </w:r>
            <w:proofErr w:type="spellEnd"/>
            <w:r>
              <w:t>-II; dynamometer/bench-rig measurement</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Power</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kW</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Rate of energy transfer</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Not available via </w:t>
            </w:r>
            <w:proofErr w:type="spellStart"/>
            <w:r>
              <w:t>OBD</w:t>
            </w:r>
            <w:proofErr w:type="spellEnd"/>
            <w:r>
              <w:t>-II; dynamometer/bench-rig measurement</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RPM</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rpm</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Crankshaft revolutions per minute</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Standard </w:t>
            </w:r>
            <w:proofErr w:type="spellStart"/>
            <w:r>
              <w:t>PID</w:t>
            </w:r>
            <w:proofErr w:type="spellEnd"/>
            <w:r>
              <w:t xml:space="preserve"> 0x0C (SAE J19</w:t>
            </w:r>
            <w:r>
              <w:t>79)</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Consumption L/H</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L/h</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Fuel consumption rate</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Calculated </w:t>
            </w:r>
            <w:proofErr w:type="spellStart"/>
            <w:r>
              <w:t>PID</w:t>
            </w:r>
            <w:proofErr w:type="spellEnd"/>
            <w:r>
              <w:t xml:space="preserve"> 0x5E on some MY2010+ vehicles; otherwise ECU-specific</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Consumption L/100KM</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L/100 km</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Fuel efficiency over distance</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Derived quantity, not a direct </w:t>
            </w:r>
            <w:proofErr w:type="spellStart"/>
            <w:r>
              <w:t>PID</w:t>
            </w:r>
            <w:proofErr w:type="spellEnd"/>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Speed</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km/h</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Vehicle travel speed</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Standard </w:t>
            </w:r>
            <w:proofErr w:type="spellStart"/>
            <w:r>
              <w:t>PID</w:t>
            </w:r>
            <w:proofErr w:type="spellEnd"/>
            <w:r>
              <w:t xml:space="preserve"> 0x0D (SAE J1979)</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CO</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Carbon monoxide in exhaust</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Not available via </w:t>
            </w:r>
            <w:proofErr w:type="spellStart"/>
            <w:r>
              <w:t>OBD</w:t>
            </w:r>
            <w:proofErr w:type="spellEnd"/>
            <w:r>
              <w:t xml:space="preserve">-II; requires a laboratory gas </w:t>
            </w:r>
            <w:proofErr w:type="spellStart"/>
            <w:r>
              <w:t>analyzer</w:t>
            </w:r>
            <w:proofErr w:type="spellEnd"/>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HC</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ppm</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Unburnt hydrocarbons in exhaust</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Not available via </w:t>
            </w:r>
            <w:proofErr w:type="spellStart"/>
            <w:r>
              <w:t>OBD</w:t>
            </w:r>
            <w:proofErr w:type="spellEnd"/>
            <w:r>
              <w:t xml:space="preserve">-II; requires a laboratory gas </w:t>
            </w:r>
            <w:proofErr w:type="spellStart"/>
            <w:r>
              <w:t>analyzer</w:t>
            </w:r>
            <w:proofErr w:type="spellEnd"/>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CO2</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Carbon dioxide in exhaust</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Not available via </w:t>
            </w:r>
            <w:proofErr w:type="spellStart"/>
            <w:r>
              <w:t>OBD</w:t>
            </w:r>
            <w:proofErr w:type="spellEnd"/>
            <w:r>
              <w:t xml:space="preserve">-II; requires a laboratory gas </w:t>
            </w:r>
            <w:proofErr w:type="spellStart"/>
            <w:r>
              <w:t>analyzer</w:t>
            </w:r>
            <w:proofErr w:type="spellEnd"/>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lastRenderedPageBreak/>
              <w:t>O2</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Oxygen remaining in exhaust</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Related standard </w:t>
            </w:r>
            <w:proofErr w:type="spellStart"/>
            <w:r>
              <w:t>PIDs</w:t>
            </w:r>
            <w:proofErr w:type="spellEnd"/>
            <w:r>
              <w:t xml:space="preserve"> 0x14 to 0x1B report O2-sensor voltage, not exhaust O2 percentage</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Lambda</w:t>
            </w:r>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unitless</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Air-fuel equivalence ratio</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Derivable from wideband </w:t>
            </w:r>
            <w:proofErr w:type="spellStart"/>
            <w:r>
              <w:t>PID</w:t>
            </w:r>
            <w:proofErr w:type="spellEnd"/>
            <w:r>
              <w:t xml:space="preserve"> 0x34 on some MY2010+ vehicles only</w:t>
            </w:r>
          </w:p>
        </w:tc>
      </w:tr>
      <w:tr w:rsidR="00FF3D98">
        <w:tc>
          <w:tcPr>
            <w:tcW w:w="15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AFR</w:t>
            </w:r>
            <w:proofErr w:type="spellEnd"/>
          </w:p>
        </w:tc>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unitless</w:t>
            </w:r>
          </w:p>
        </w:tc>
        <w:tc>
          <w:tcPr>
            <w:tcW w:w="3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Air-fuel ratio</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Not a direct </w:t>
            </w:r>
            <w:proofErr w:type="spellStart"/>
            <w:r>
              <w:t>PID</w:t>
            </w:r>
            <w:proofErr w:type="spellEnd"/>
            <w:r>
              <w:t>; derivable from Lambda where available</w:t>
            </w:r>
          </w:p>
        </w:tc>
      </w:tr>
    </w:tbl>
    <w:p w:rsidR="00FF3D98" w:rsidRDefault="00E568FA">
      <w:pPr>
        <w:spacing w:after="160"/>
        <w:jc w:val="both"/>
      </w:pPr>
      <w:r>
        <w:t xml:space="preserve">Nine of these fourteen inputs, including all four exhaust-composition variables (CO, HC, CO2, O2) and both </w:t>
      </w:r>
      <w:r>
        <w:t xml:space="preserve">dynamometer-derived variables (Force, Power), are not retrievable from a standard consumer-grade </w:t>
      </w:r>
      <w:proofErr w:type="spellStart"/>
      <w:r>
        <w:t>OBD</w:t>
      </w:r>
      <w:proofErr w:type="spellEnd"/>
      <w:r>
        <w:t>-II scanner; they require the gas-</w:t>
      </w:r>
      <w:proofErr w:type="spellStart"/>
      <w:r>
        <w:t>analyzer</w:t>
      </w:r>
      <w:proofErr w:type="spellEnd"/>
      <w:r>
        <w:t xml:space="preserve"> and data-acquisition bench rig used to collect </w:t>
      </w:r>
      <w:proofErr w:type="spellStart"/>
      <w:r>
        <w:t>EngineFaultDB</w:t>
      </w:r>
      <w:proofErr w:type="spellEnd"/>
      <w:r>
        <w:t xml:space="preserve"> [1]. This has a direct, practical consequence for th</w:t>
      </w:r>
      <w:r>
        <w:t xml:space="preserve">is paper's stated goal of real-world </w:t>
      </w:r>
      <w:proofErr w:type="spellStart"/>
      <w:r>
        <w:t>deployability</w:t>
      </w:r>
      <w:proofErr w:type="spellEnd"/>
      <w:r>
        <w:t xml:space="preserve">: the fault-subtype model trained on </w:t>
      </w:r>
      <w:proofErr w:type="spellStart"/>
      <w:r>
        <w:t>EngineFaultDB</w:t>
      </w:r>
      <w:proofErr w:type="spellEnd"/>
      <w:r>
        <w:t xml:space="preserve"> (Section VI, dashboard Mode 1) is best suited to a workshop or laboratory setting with the appropriate equipment, whereas the primary dataset's six field-r</w:t>
      </w:r>
      <w:r>
        <w:t xml:space="preserve">ealistic inputs (Table I) are the basis of the dashboard's Mode 2 (Section VI-F), which is the mode this paper recommends for deployment via a generic </w:t>
      </w:r>
      <w:proofErr w:type="spellStart"/>
      <w:r>
        <w:t>OBD</w:t>
      </w:r>
      <w:proofErr w:type="spellEnd"/>
      <w:r>
        <w:t>-II scanner in the field.</w:t>
      </w:r>
    </w:p>
    <w:p w:rsidR="00FF3D98" w:rsidRDefault="00E568FA">
      <w:pPr>
        <w:spacing w:after="240"/>
        <w:jc w:val="center"/>
      </w:pPr>
      <w:r>
        <w:rPr>
          <w:i/>
          <w:iCs/>
          <w:sz w:val="20"/>
          <w:szCs w:val="20"/>
        </w:rPr>
        <w:t>TABLE III.  Class distribution (</w:t>
      </w:r>
      <w:proofErr w:type="spellStart"/>
      <w:r>
        <w:rPr>
          <w:i/>
          <w:iCs/>
          <w:sz w:val="20"/>
          <w:szCs w:val="20"/>
        </w:rPr>
        <w:t>EngineFaultDB</w:t>
      </w:r>
      <w:proofErr w:type="spellEnd"/>
      <w:r>
        <w:rPr>
          <w:i/>
          <w:iCs/>
          <w:sz w:val="20"/>
          <w:szCs w:val="20"/>
        </w:rPr>
        <w:t>, n = 55,999)</w:t>
      </w: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3200"/>
        <w:gridCol w:w="2400"/>
        <w:gridCol w:w="2860"/>
      </w:tblGrid>
      <w:tr w:rsidR="00FF3D98">
        <w:trPr>
          <w:tblHeader/>
        </w:trPr>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Label</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Condition</w:t>
            </w:r>
          </w:p>
        </w:tc>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S</w:t>
            </w:r>
            <w:r>
              <w:rPr>
                <w:b/>
                <w:bCs/>
                <w:color w:val="000000"/>
              </w:rPr>
              <w:t>amples</w:t>
            </w:r>
          </w:p>
        </w:tc>
        <w:tc>
          <w:tcPr>
            <w:tcW w:w="28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Share</w:t>
            </w:r>
          </w:p>
        </w:tc>
      </w:tr>
      <w:tr w:rsidR="00FF3D98">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Normal (good)</w:t>
            </w:r>
          </w:p>
        </w:tc>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16,000</w:t>
            </w:r>
          </w:p>
        </w:tc>
        <w:tc>
          <w:tcPr>
            <w:tcW w:w="28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28.6%</w:t>
            </w:r>
          </w:p>
        </w:tc>
      </w:tr>
      <w:tr w:rsidR="00FF3D98">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Rich air-fuel mixture fault</w:t>
            </w:r>
          </w:p>
        </w:tc>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10,998</w:t>
            </w:r>
          </w:p>
        </w:tc>
        <w:tc>
          <w:tcPr>
            <w:tcW w:w="28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19.6%</w:t>
            </w:r>
          </w:p>
        </w:tc>
      </w:tr>
      <w:tr w:rsidR="00FF3D98">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2</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Lean air-fuel mixture fault</w:t>
            </w:r>
          </w:p>
        </w:tc>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15,000</w:t>
            </w:r>
          </w:p>
        </w:tc>
        <w:tc>
          <w:tcPr>
            <w:tcW w:w="28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26.8%</w:t>
            </w:r>
          </w:p>
        </w:tc>
      </w:tr>
      <w:tr w:rsidR="00FF3D98">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3</w:t>
            </w:r>
          </w:p>
        </w:tc>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Low ignition voltage fault</w:t>
            </w:r>
          </w:p>
        </w:tc>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14,001</w:t>
            </w:r>
          </w:p>
        </w:tc>
        <w:tc>
          <w:tcPr>
            <w:tcW w:w="28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25.0%</w:t>
            </w:r>
          </w:p>
        </w:tc>
      </w:tr>
    </w:tbl>
    <w:p w:rsidR="00FF3D98" w:rsidRDefault="00E568FA">
      <w:pPr>
        <w:pStyle w:val="Heading2"/>
      </w:pPr>
      <w:r>
        <w:t>C. Data splitting</w:t>
      </w:r>
    </w:p>
    <w:p w:rsidR="00FF3D98" w:rsidRDefault="00E568FA">
      <w:pPr>
        <w:spacing w:after="160"/>
        <w:jc w:val="both"/>
      </w:pPr>
      <w:r>
        <w:t xml:space="preserve">The dataset was split 80/20 into training (n = 44,800) and held-out test (n = 11,199) sets using a fixed random seed (42) for reproducibility. Given the sample size, the random split preserved class proportions closely (test-set composition: 28.0% normal, </w:t>
      </w:r>
      <w:r>
        <w:t>20.0% rich, 26.7% lean, 25.4% low-voltage, within 1 percentage point of the full-dataset proportions in Table II), so no explicit stratification was required.</w:t>
      </w:r>
    </w:p>
    <w:p w:rsidR="00FF3D98" w:rsidRDefault="00E568FA">
      <w:pPr>
        <w:pStyle w:val="Heading1"/>
      </w:pPr>
      <w:r>
        <w:t>IV. Methodology</w:t>
      </w:r>
    </w:p>
    <w:p w:rsidR="00FF3D98" w:rsidRDefault="00E568FA">
      <w:pPr>
        <w:pStyle w:val="Heading2"/>
      </w:pPr>
      <w:r>
        <w:t>A. Problem reframing: a two-stage pipeline</w:t>
      </w:r>
    </w:p>
    <w:p w:rsidR="00FF3D98" w:rsidRDefault="00E568FA">
      <w:pPr>
        <w:spacing w:after="160"/>
        <w:jc w:val="both"/>
      </w:pPr>
      <w:r>
        <w:t>Rather than a single flat classifier o</w:t>
      </w:r>
      <w:r>
        <w:t>ver all four classes, the diagnostic task is decomposed into two stages that mirror how a technician actually works (Fig. 1). Stage 1 answers a binary question: is the engine faulty at all? Stage 2, invoked only when Stage 1 predicts a fault, answers which</w:t>
      </w:r>
      <w:r>
        <w:t xml:space="preserve"> of the known fault types is most likely present. This decomposition allows each stage to be modelled and evaluated on its own terms and, as Section V shows, the two stages exhibit very different levels of difficulty, a structural insight a single flat cla</w:t>
      </w:r>
      <w:r>
        <w:t>ssifier would obscure.</w:t>
      </w:r>
    </w:p>
    <w:p w:rsidR="00FF3D98" w:rsidRDefault="00E568FA">
      <w:pPr>
        <w:spacing w:before="160" w:after="40"/>
        <w:jc w:val="center"/>
      </w:pPr>
      <w:r>
        <w:rPr>
          <w:noProof/>
        </w:rPr>
        <w:lastRenderedPageBreak/>
        <w:drawing>
          <wp:inline distT="0" distB="0" distL="0" distR="0">
            <wp:extent cx="4381500" cy="2162175"/>
            <wp:effectExtent l="0" t="0" r="0" b="0"/>
            <wp:docPr id="1" name="image6.png" descr="Pipeline architecture"/>
            <wp:cNvGraphicFramePr/>
            <a:graphic xmlns:a="http://schemas.openxmlformats.org/drawingml/2006/main">
              <a:graphicData uri="http://schemas.openxmlformats.org/drawingml/2006/picture">
                <pic:pic xmlns:pic="http://schemas.openxmlformats.org/drawingml/2006/picture">
                  <pic:nvPicPr>
                    <pic:cNvPr id="0" name="image6.png" descr="Pipeline architecture"/>
                    <pic:cNvPicPr preferRelativeResize="0"/>
                  </pic:nvPicPr>
                  <pic:blipFill>
                    <a:blip r:embed="rId5"/>
                    <a:srcRect/>
                    <a:stretch>
                      <a:fillRect/>
                    </a:stretch>
                  </pic:blipFill>
                  <pic:spPr>
                    <a:xfrm>
                      <a:off x="0" y="0"/>
                      <a:ext cx="4381500" cy="2162175"/>
                    </a:xfrm>
                    <a:prstGeom prst="rect">
                      <a:avLst/>
                    </a:prstGeom>
                    <a:ln/>
                  </pic:spPr>
                </pic:pic>
              </a:graphicData>
            </a:graphic>
          </wp:inline>
        </w:drawing>
      </w:r>
    </w:p>
    <w:p w:rsidR="00FF3D98" w:rsidRDefault="00E568FA">
      <w:pPr>
        <w:spacing w:after="240"/>
        <w:jc w:val="center"/>
      </w:pPr>
      <w:r>
        <w:rPr>
          <w:i/>
          <w:iCs/>
          <w:sz w:val="20"/>
          <w:szCs w:val="20"/>
        </w:rPr>
        <w:t>Fig. 1.  Two-stage diagnostic pipeline architecture.</w:t>
      </w:r>
    </w:p>
    <w:p w:rsidR="00FF3D98" w:rsidRDefault="00E568FA">
      <w:pPr>
        <w:pStyle w:val="Heading2"/>
      </w:pPr>
      <w:r>
        <w:t>B. Candidate models</w:t>
      </w:r>
    </w:p>
    <w:p w:rsidR="00FF3D98" w:rsidRDefault="00E568FA">
      <w:pPr>
        <w:spacing w:after="160"/>
        <w:jc w:val="both"/>
      </w:pPr>
      <w:r>
        <w:t>Four classifiers were implemented and compared, all trained from first principles in NumPy to keep the pipeline fully transparent, auditable, and light enough to run entirely client-side in the deployed dashboard (Section VI) without a server-side inferenc</w:t>
      </w:r>
      <w:r>
        <w:t xml:space="preserve">e dependency. The fourth, Gradient Boosting, was added specifically to target the primary dataset's harder, imbalanced binary problem (Section V-G) and is not used for the already near-saturated </w:t>
      </w:r>
      <w:proofErr w:type="spellStart"/>
      <w:r>
        <w:t>EngineFaultDB</w:t>
      </w:r>
      <w:proofErr w:type="spellEnd"/>
      <w:r>
        <w:t xml:space="preserve"> Stage 1 task.</w:t>
      </w:r>
    </w:p>
    <w:p w:rsidR="00FF3D98" w:rsidRDefault="00E568FA">
      <w:pPr>
        <w:pStyle w:val="Heading3"/>
      </w:pPr>
      <w:r>
        <w:t>1) Gaussian Naive Bayes [8]</w:t>
      </w:r>
    </w:p>
    <w:p w:rsidR="00FF3D98" w:rsidRDefault="00E568FA">
      <w:pPr>
        <w:spacing w:after="160"/>
        <w:jc w:val="both"/>
      </w:pPr>
      <w:r>
        <w:t>For class c and feature vector x, the class-conditional likelihood assumes feature independence and Gaussian-distributed continuous features:</w:t>
      </w:r>
    </w:p>
    <w:p w:rsidR="00FF3D98" w:rsidRDefault="00E568FA">
      <w:pPr>
        <w:spacing w:before="100" w:after="160"/>
        <w:jc w:val="center"/>
      </w:pPr>
      <w:proofErr w:type="gramStart"/>
      <w:r>
        <w:rPr>
          <w:i/>
          <w:iCs/>
        </w:rPr>
        <w:t>P(</w:t>
      </w:r>
      <w:proofErr w:type="gramEnd"/>
      <w:r>
        <w:rPr>
          <w:i/>
          <w:iCs/>
        </w:rPr>
        <w:t>x | c) = ∏ᵢ (1 / √(2π·σ²꜀,ᵢ)) · exp( −(xᵢ − μ꜀,ᵢ)² / (2·σ²꜀,ᵢ) )</w:t>
      </w:r>
    </w:p>
    <w:p w:rsidR="00FF3D98" w:rsidRDefault="00E568FA">
      <w:pPr>
        <w:spacing w:after="160"/>
        <w:jc w:val="both"/>
      </w:pPr>
      <w:r>
        <w:t>with the predicted class chosen to maximize the</w:t>
      </w:r>
      <w:r>
        <w:t xml:space="preserve"> posterior P(c)·P(</w:t>
      </w:r>
      <w:proofErr w:type="spellStart"/>
      <w:r>
        <w:t>x|c</w:t>
      </w:r>
      <w:proofErr w:type="spellEnd"/>
      <w:r>
        <w:t xml:space="preserve">) via Bayes' rule (log-space for numerical stability). This model serves as a </w:t>
      </w:r>
      <w:proofErr w:type="gramStart"/>
      <w:r>
        <w:t>fast probabilistic</w:t>
      </w:r>
      <w:proofErr w:type="gramEnd"/>
      <w:r>
        <w:t xml:space="preserve"> baseline that explicitly tests the (violated, as Section V shows) independence assumption.</w:t>
      </w:r>
    </w:p>
    <w:p w:rsidR="00FF3D98" w:rsidRDefault="00E568FA">
      <w:pPr>
        <w:pStyle w:val="Heading3"/>
      </w:pPr>
      <w:r>
        <w:t>2) CART Decision Tree [7]</w:t>
      </w:r>
    </w:p>
    <w:p w:rsidR="00FF3D98" w:rsidRDefault="00E568FA">
      <w:pPr>
        <w:spacing w:after="160"/>
        <w:jc w:val="both"/>
      </w:pPr>
      <w:r>
        <w:t>At each node, the spl</w:t>
      </w:r>
      <w:r>
        <w:t>it (feature f, threshold t) is chosen to maximize the Gini impurity reduction:</w:t>
      </w:r>
    </w:p>
    <w:p w:rsidR="00FF3D98" w:rsidRDefault="00E568FA">
      <w:pPr>
        <w:spacing w:before="100" w:after="160"/>
        <w:jc w:val="center"/>
      </w:pPr>
      <w:r>
        <w:rPr>
          <w:i/>
          <w:iCs/>
        </w:rPr>
        <w:t>Gini(S) = 1 − Σ꜀ p꜀</w:t>
      </w:r>
      <w:proofErr w:type="gramStart"/>
      <w:r>
        <w:rPr>
          <w:i/>
          <w:iCs/>
        </w:rPr>
        <w:t>²  ,</w:t>
      </w:r>
      <w:proofErr w:type="gramEnd"/>
      <w:r>
        <w:rPr>
          <w:i/>
          <w:iCs/>
        </w:rPr>
        <w:t xml:space="preserve">   </w:t>
      </w:r>
      <w:proofErr w:type="spellStart"/>
      <w:r>
        <w:rPr>
          <w:i/>
          <w:iCs/>
        </w:rPr>
        <w:t>ΔGini</w:t>
      </w:r>
      <w:proofErr w:type="spellEnd"/>
      <w:r>
        <w:rPr>
          <w:i/>
          <w:iCs/>
        </w:rPr>
        <w:t xml:space="preserve"> = Gini(S) − (|Sₗ|/|S|)·Gini(Sₗ) − (|Sᵣ|/|S|)·Gini(Sᵣ)</w:t>
      </w:r>
    </w:p>
    <w:p w:rsidR="00FF3D98" w:rsidRDefault="00E568FA">
      <w:pPr>
        <w:spacing w:after="160"/>
        <w:jc w:val="both"/>
      </w:pPr>
      <w:r>
        <w:t>where p꜀ is the proportion of class c in node S, and Sₗ, Sᵣ are the left/right children ind</w:t>
      </w:r>
      <w:r>
        <w:t>uced by the split. Growth stops at a maximum depth of 14, or when a node has fewer than 10 samples (</w:t>
      </w:r>
      <w:proofErr w:type="spellStart"/>
      <w:r>
        <w:t>min_samples_split</w:t>
      </w:r>
      <w:proofErr w:type="spellEnd"/>
      <w:r>
        <w:t>) or a candidate split would leave a child with fewer than 5 samples (</w:t>
      </w:r>
      <w:proofErr w:type="spellStart"/>
      <w:r>
        <w:t>min_samples_leaf</w:t>
      </w:r>
      <w:proofErr w:type="spellEnd"/>
      <w:r>
        <w:t>). This configuration replicates the original thesis'</w:t>
      </w:r>
      <w:r>
        <w:t>s decision-tree method on the new data, serving as a like-for-like baseline.</w:t>
      </w:r>
    </w:p>
    <w:p w:rsidR="00FF3D98" w:rsidRDefault="00E568FA">
      <w:pPr>
        <w:pStyle w:val="Heading3"/>
      </w:pPr>
      <w:r>
        <w:t>3) Random Forest [6] (proposed model)</w:t>
      </w:r>
    </w:p>
    <w:p w:rsidR="00FF3D98" w:rsidRDefault="00E568FA">
      <w:pPr>
        <w:spacing w:after="160"/>
        <w:jc w:val="both"/>
      </w:pPr>
      <w:r>
        <w:rPr>
          <w:rFonts w:ascii="Cardo" w:eastAsia="Cardo" w:hAnsi="Cardo" w:cs="Cardo"/>
        </w:rPr>
        <w:t>An ensemble of B = 40 CART trees, each trained on an independent bootstrap resample of the training set and restricted, at each split, to a r</w:t>
      </w:r>
      <w:r>
        <w:rPr>
          <w:rFonts w:ascii="Cardo" w:eastAsia="Cardo" w:hAnsi="Cardo" w:cs="Cardo"/>
        </w:rPr>
        <w:t>andom subset of ⌊√14⌋ = 3 candidate features. Final class probabilities are the mean of the per-tree leaf probability vectors:</w:t>
      </w:r>
    </w:p>
    <w:p w:rsidR="00FF3D98" w:rsidRDefault="00E568FA">
      <w:pPr>
        <w:spacing w:before="100" w:after="160"/>
        <w:jc w:val="center"/>
      </w:pPr>
      <w:proofErr w:type="gramStart"/>
      <w:r>
        <w:rPr>
          <w:i/>
          <w:iCs/>
        </w:rPr>
        <w:t>P̂(</w:t>
      </w:r>
      <w:proofErr w:type="gramEnd"/>
      <w:r>
        <w:rPr>
          <w:i/>
          <w:iCs/>
        </w:rPr>
        <w:t>c | x) = (1 / B) · Σᵦ Tᵦ(c | x)</w:t>
      </w:r>
    </w:p>
    <w:p w:rsidR="00FF3D98" w:rsidRDefault="00E568FA">
      <w:pPr>
        <w:spacing w:after="160"/>
        <w:jc w:val="both"/>
      </w:pPr>
      <w:r>
        <w:t>with the predicted class argmax꜀ P̂(</w:t>
      </w:r>
      <w:proofErr w:type="spellStart"/>
      <w:r>
        <w:t>c|x</w:t>
      </w:r>
      <w:proofErr w:type="spellEnd"/>
      <w:r>
        <w:t>). Bagging plus feature subsampling decorrelates the in</w:t>
      </w:r>
      <w:r>
        <w:t>dividual trees, reducing variance relative to a single decision tree without materially increasing bias.</w:t>
      </w:r>
    </w:p>
    <w:p w:rsidR="00FF3D98" w:rsidRDefault="00E568FA">
      <w:pPr>
        <w:pStyle w:val="Heading3"/>
      </w:pPr>
      <w:r>
        <w:lastRenderedPageBreak/>
        <w:t>4) Gradient Boosting Classifier [13] (primary-dataset refinement)</w:t>
      </w:r>
    </w:p>
    <w:p w:rsidR="00FF3D98" w:rsidRDefault="00E568FA">
      <w:pPr>
        <w:spacing w:after="160"/>
        <w:jc w:val="both"/>
      </w:pPr>
      <w:r>
        <w:rPr>
          <w:rFonts w:ascii="Caudex" w:eastAsia="Caudex" w:hAnsi="Caudex" w:cs="Caudex"/>
        </w:rPr>
        <w:t>For the primary dataset's binary GOOD/BAD problem (Section V-G), an additive ensemble</w:t>
      </w:r>
      <w:r>
        <w:rPr>
          <w:rFonts w:ascii="Caudex" w:eastAsia="Caudex" w:hAnsi="Caudex" w:cs="Caudex"/>
        </w:rPr>
        <w:t xml:space="preserve"> of M shallow CART regression trees is fitted </w:t>
      </w:r>
      <w:proofErr w:type="spellStart"/>
      <w:r>
        <w:rPr>
          <w:rFonts w:ascii="Caudex" w:eastAsia="Caudex" w:hAnsi="Caudex" w:cs="Caudex"/>
        </w:rPr>
        <w:t>stagewise</w:t>
      </w:r>
      <w:proofErr w:type="spellEnd"/>
      <w:r>
        <w:rPr>
          <w:rFonts w:ascii="Caudex" w:eastAsia="Caudex" w:hAnsi="Caudex" w:cs="Caudex"/>
        </w:rPr>
        <w:t xml:space="preserve"> to the residual of the binomial log-loss. Writing F₀(x) = log(p̄/(1−p̄)) for the log-odds of the training-set base rate p̄, each stage m fits a regression tree hₘ to the negative gradient (residual) r</w:t>
      </w:r>
      <w:r>
        <w:rPr>
          <w:rFonts w:ascii="Caudex" w:eastAsia="Caudex" w:hAnsi="Caudex" w:cs="Caudex"/>
        </w:rPr>
        <w:t>ᵢ</w:t>
      </w:r>
      <w:r>
        <w:rPr>
          <w:rFonts w:ascii="Caudex" w:eastAsia="Caudex" w:hAnsi="Caudex" w:cs="Caudex"/>
        </w:rPr>
        <w:t xml:space="preserve"> = y</w:t>
      </w:r>
      <w:r>
        <w:rPr>
          <w:rFonts w:ascii="Caudex" w:eastAsia="Caudex" w:hAnsi="Caudex" w:cs="Caudex"/>
        </w:rPr>
        <w:t>ᵢ</w:t>
      </w:r>
      <w:r>
        <w:rPr>
          <w:rFonts w:ascii="Caudex" w:eastAsia="Caudex" w:hAnsi="Caudex" w:cs="Caudex"/>
        </w:rPr>
        <w:t xml:space="preserve"> − σ(Fₘ₋₁(x</w:t>
      </w:r>
      <w:r>
        <w:rPr>
          <w:rFonts w:ascii="Caudex" w:eastAsia="Caudex" w:hAnsi="Caudex" w:cs="Caudex"/>
        </w:rPr>
        <w:t>ᵢ</w:t>
      </w:r>
      <w:r>
        <w:rPr>
          <w:rFonts w:ascii="Caudex" w:eastAsia="Caudex" w:hAnsi="Caudex" w:cs="Caudex"/>
        </w:rPr>
        <w:t>)), where σ is the logistic sigmoid, and updates the ensemble additively:</w:t>
      </w:r>
    </w:p>
    <w:p w:rsidR="00FF3D98" w:rsidRDefault="00E568FA">
      <w:pPr>
        <w:spacing w:before="100" w:after="160"/>
        <w:jc w:val="center"/>
      </w:pPr>
      <w:r>
        <w:rPr>
          <w:rFonts w:ascii="Caudex" w:eastAsia="Caudex" w:hAnsi="Caudex" w:cs="Caudex"/>
          <w:i/>
          <w:iCs/>
        </w:rPr>
        <w:t>Fₘ(x) = Fₘ₋₁(x) + ν · hₘ(x</w:t>
      </w:r>
      <w:proofErr w:type="gramStart"/>
      <w:r>
        <w:rPr>
          <w:rFonts w:ascii="Caudex" w:eastAsia="Caudex" w:hAnsi="Caudex" w:cs="Caudex"/>
          <w:i/>
          <w:iCs/>
        </w:rPr>
        <w:t>)  ,</w:t>
      </w:r>
      <w:proofErr w:type="gramEnd"/>
      <w:r>
        <w:rPr>
          <w:rFonts w:ascii="Caudex" w:eastAsia="Caudex" w:hAnsi="Caudex" w:cs="Caudex"/>
          <w:i/>
          <w:iCs/>
        </w:rPr>
        <w:t xml:space="preserve">   P̂(GOOD | x) = σ(</w:t>
      </w:r>
      <w:proofErr w:type="spellStart"/>
      <w:r>
        <w:rPr>
          <w:rFonts w:ascii="Caudex" w:eastAsia="Caudex" w:hAnsi="Caudex" w:cs="Caudex"/>
          <w:i/>
          <w:iCs/>
        </w:rPr>
        <w:t>F_M</w:t>
      </w:r>
      <w:proofErr w:type="spellEnd"/>
      <w:r>
        <w:rPr>
          <w:rFonts w:ascii="Caudex" w:eastAsia="Caudex" w:hAnsi="Caudex" w:cs="Caudex"/>
          <w:i/>
          <w:iCs/>
        </w:rPr>
        <w:t>(x)) = 1 / (1 + e^(−</w:t>
      </w:r>
      <w:proofErr w:type="spellStart"/>
      <w:r>
        <w:rPr>
          <w:rFonts w:ascii="Caudex" w:eastAsia="Caudex" w:hAnsi="Caudex" w:cs="Caudex"/>
          <w:i/>
          <w:iCs/>
        </w:rPr>
        <w:t>F_M</w:t>
      </w:r>
      <w:proofErr w:type="spellEnd"/>
      <w:r>
        <w:rPr>
          <w:rFonts w:ascii="Caudex" w:eastAsia="Caudex" w:hAnsi="Caudex" w:cs="Caudex"/>
          <w:i/>
          <w:iCs/>
        </w:rPr>
        <w:t>(x)))</w:t>
      </w:r>
    </w:p>
    <w:p w:rsidR="00FF3D98" w:rsidRDefault="00E568FA">
      <w:pPr>
        <w:spacing w:after="160"/>
        <w:jc w:val="both"/>
      </w:pPr>
      <w:r>
        <w:t>with learning rate ν = 0.06, M = 150 trees, and each tree limited to max depth 4 a</w:t>
      </w:r>
      <w:r>
        <w:t>nd a minimum of 8 samples per leaf. Unlike Random Forest's averaging of independent trees, boosting builds trees sequentially, each one correcting the errors of the ensemble so far, which typically yields sharper decision boundaries on harder, imbalanced p</w:t>
      </w:r>
      <w:r>
        <w:t>roblems such as the primary dataset's BAD-class detection task, at the cost of requiring careful regularization (shallow trees, a small learning rate) to avoid overfitting.</w:t>
      </w:r>
    </w:p>
    <w:p w:rsidR="00FF3D98" w:rsidRDefault="00E568FA">
      <w:pPr>
        <w:spacing w:after="160"/>
        <w:jc w:val="both"/>
      </w:pPr>
      <w:r>
        <w:t>Because the default 0.5 probability threshold is not necessarily optimal under clas</w:t>
      </w:r>
      <w:r>
        <w:t xml:space="preserve">s imbalance, the classification threshold applied to </w:t>
      </w:r>
      <w:proofErr w:type="gramStart"/>
      <w:r>
        <w:t>P̂(</w:t>
      </w:r>
      <w:proofErr w:type="gramEnd"/>
      <w:r>
        <w:t>GOOD | x) was tuned on a held-out validation split (Section IV-E) rather than fixed a priori or tuned on the test set, giving a final threshold of 0.59.</w:t>
      </w:r>
    </w:p>
    <w:p w:rsidR="00FF3D98" w:rsidRDefault="00E568FA">
      <w:pPr>
        <w:pStyle w:val="Heading2"/>
      </w:pPr>
      <w:r>
        <w:t>C. Model selection rationale</w:t>
      </w:r>
    </w:p>
    <w:p w:rsidR="00FF3D98" w:rsidRDefault="00E568FA">
      <w:pPr>
        <w:spacing w:after="160"/>
        <w:jc w:val="both"/>
      </w:pPr>
      <w:r>
        <w:t xml:space="preserve">Random Forest was </w:t>
      </w:r>
      <w:r>
        <w:t>preferred over a higher-capacity alternative such as a feed-forward neural network for three reasons tied directly to this project's deployment goal, consistent with the conclusion of Hossain et al. [5] that ensemble tree methods offer the best accuracy-to</w:t>
      </w:r>
      <w:r>
        <w:t>-interpretability trade-off for maintenance-facing tools: (</w:t>
      </w:r>
      <w:proofErr w:type="spellStart"/>
      <w:r>
        <w:t>i</w:t>
      </w:r>
      <w:proofErr w:type="spellEnd"/>
      <w:r>
        <w:t>) it outperforms a single decision tree on noisy sensor data (Section V-A) without a large increase in training cost; (ii) it exposes per-feature importance scores that map directly onto the dashb</w:t>
      </w:r>
      <w:r>
        <w:t>oard's root-cause explanation (Section VI-D), which a neural network would not provide without additional tooling such as SHAP; and (iii) its inference cost is low enough to run entirely client-side in a browser, avoiding a server dependency for the deploy</w:t>
      </w:r>
      <w:r>
        <w:t>ed tool.</w:t>
      </w:r>
    </w:p>
    <w:p w:rsidR="00FF3D98" w:rsidRDefault="00066263">
      <w:pPr>
        <w:spacing w:after="160"/>
        <w:jc w:val="both"/>
      </w:pPr>
      <w:r w:rsidRPr="00066263">
        <w:t>Gradient Boosting was added as a fourth and final, highly focused addition not in place of Random Forest due to class imbalance in the main dataset (Section III-A), where accuracy alone does not expose the compromises made by the Random Forest model on</w:t>
      </w:r>
      <w:r>
        <w:t xml:space="preserve"> </w:t>
      </w:r>
      <w:r w:rsidRPr="00066263">
        <w:t>BAD-class precision vs recall (Section V-G); and a feature set or other collection of data was not necessitated to achieve that final bit of improvement through boosted sequential error-correction, combined with thresholding that was optimized by validation.</w:t>
      </w:r>
    </w:p>
    <w:p w:rsidR="00FF3D98" w:rsidRDefault="00E568FA">
      <w:pPr>
        <w:pStyle w:val="Heading2"/>
      </w:pPr>
      <w:r>
        <w:t>D. Hyperparameters</w:t>
      </w:r>
    </w:p>
    <w:p w:rsidR="00FF3D98" w:rsidRDefault="00E568FA">
      <w:pPr>
        <w:spacing w:after="240"/>
        <w:jc w:val="center"/>
      </w:pPr>
      <w:r>
        <w:rPr>
          <w:i/>
          <w:iCs/>
          <w:sz w:val="20"/>
          <w:szCs w:val="20"/>
        </w:rPr>
        <w:t>TABLE IV.  Model hyperparameters</w:t>
      </w: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0"/>
        <w:gridCol w:w="3160"/>
        <w:gridCol w:w="3600"/>
      </w:tblGrid>
      <w:tr w:rsidR="00FF3D98">
        <w:trPr>
          <w:tblHeader/>
        </w:trPr>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Model</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Setting</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Value</w:t>
            </w:r>
          </w:p>
        </w:tc>
      </w:tr>
      <w:tr w:rsidR="00FF3D98">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Decision Tree</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max_depth</w:t>
            </w:r>
            <w:proofErr w:type="spellEnd"/>
            <w:r>
              <w:t xml:space="preserve"> / </w:t>
            </w:r>
            <w:proofErr w:type="spellStart"/>
            <w:r>
              <w:t>min_samples_split</w:t>
            </w:r>
            <w:proofErr w:type="spellEnd"/>
            <w:r>
              <w:t xml:space="preserve"> / </w:t>
            </w:r>
            <w:proofErr w:type="spellStart"/>
            <w:r>
              <w:t>min_samples_leaf</w:t>
            </w:r>
            <w:proofErr w:type="spellEnd"/>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14 / 10 / 5</w:t>
            </w:r>
          </w:p>
        </w:tc>
      </w:tr>
      <w:tr w:rsidR="00FF3D98">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Random Forest (4-class benchmark)</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n_estimators</w:t>
            </w:r>
            <w:proofErr w:type="spellEnd"/>
            <w:r>
              <w:t xml:space="preserve"> / </w:t>
            </w:r>
            <w:proofErr w:type="spellStart"/>
            <w:r>
              <w:t>max_depth</w:t>
            </w:r>
            <w:proofErr w:type="spellEnd"/>
            <w:r>
              <w:t xml:space="preserve"> / </w:t>
            </w:r>
            <w:proofErr w:type="spellStart"/>
            <w:r>
              <w:t>min_samples_split</w:t>
            </w:r>
            <w:proofErr w:type="spellEnd"/>
            <w:r>
              <w:t xml:space="preserve"> / </w:t>
            </w:r>
            <w:proofErr w:type="spellStart"/>
            <w:r>
              <w:t>min_samples_leaf</w:t>
            </w:r>
            <w:proofErr w:type="spellEnd"/>
            <w:r>
              <w:t xml:space="preserve"> / </w:t>
            </w:r>
            <w:proofErr w:type="spellStart"/>
            <w:r>
              <w:t>max_features</w:t>
            </w:r>
            <w:proofErr w:type="spellEnd"/>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rFonts w:ascii="Gungsuh" w:eastAsia="Gungsuh" w:hAnsi="Gungsuh" w:cs="Gungsuh"/>
              </w:rPr>
              <w:t>40 / 14 / 10 / 5 / √14 ≈ 3</w:t>
            </w:r>
          </w:p>
        </w:tc>
      </w:tr>
      <w:tr w:rsidR="00FF3D98">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Random Forest, Stage 1 (binary)</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n_estimators</w:t>
            </w:r>
            <w:proofErr w:type="spellEnd"/>
            <w:r>
              <w:t xml:space="preserve"> / </w:t>
            </w:r>
            <w:proofErr w:type="spellStart"/>
            <w:r>
              <w:t>max_depth</w:t>
            </w:r>
            <w:proofErr w:type="spellEnd"/>
            <w:r>
              <w:t xml:space="preserve"> / </w:t>
            </w:r>
            <w:proofErr w:type="spellStart"/>
            <w:r>
              <w:t>min_samples_split</w:t>
            </w:r>
            <w:proofErr w:type="spellEnd"/>
            <w:r>
              <w:t xml:space="preserve"> / </w:t>
            </w:r>
            <w:proofErr w:type="spellStart"/>
            <w:r>
              <w:t>min_samples_leaf</w:t>
            </w:r>
            <w:proofErr w:type="spellEnd"/>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20 / 8 / 20 / 10</w:t>
            </w:r>
          </w:p>
        </w:tc>
      </w:tr>
      <w:tr w:rsidR="00FF3D98">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lastRenderedPageBreak/>
              <w:t>Random Forest, Stage 2 (subtype)</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n_estimators</w:t>
            </w:r>
            <w:proofErr w:type="spellEnd"/>
            <w:r>
              <w:t xml:space="preserve"> / </w:t>
            </w:r>
            <w:proofErr w:type="spellStart"/>
            <w:r>
              <w:t>max_depth</w:t>
            </w:r>
            <w:proofErr w:type="spellEnd"/>
            <w:r>
              <w:t xml:space="preserve"> / </w:t>
            </w:r>
            <w:proofErr w:type="spellStart"/>
            <w:r>
              <w:t>min_samples_split</w:t>
            </w:r>
            <w:proofErr w:type="spellEnd"/>
            <w:r>
              <w:t xml:space="preserve"> / </w:t>
            </w:r>
            <w:proofErr w:type="spellStart"/>
            <w:r>
              <w:t>min_samples_leaf</w:t>
            </w:r>
            <w:proofErr w:type="spellEnd"/>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25 / 10 / 15 / 8</w:t>
            </w:r>
          </w:p>
        </w:tc>
      </w:tr>
      <w:tr w:rsidR="00FF3D98">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Gradient Boosting (primary dataset)</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n_estimators</w:t>
            </w:r>
            <w:proofErr w:type="spellEnd"/>
            <w:r>
              <w:t xml:space="preserve"> / </w:t>
            </w:r>
            <w:proofErr w:type="spellStart"/>
            <w:r>
              <w:t>max_depth</w:t>
            </w:r>
            <w:proofErr w:type="spellEnd"/>
            <w:r>
              <w:t xml:space="preserve"> / </w:t>
            </w:r>
            <w:proofErr w:type="spellStart"/>
            <w:r>
              <w:t>learning_rate</w:t>
            </w:r>
            <w:proofErr w:type="spellEnd"/>
            <w:r>
              <w:t xml:space="preserve"> / </w:t>
            </w:r>
            <w:proofErr w:type="spellStart"/>
            <w:r>
              <w:t>min_samples_split</w:t>
            </w:r>
            <w:proofErr w:type="spellEnd"/>
            <w:r>
              <w:t xml:space="preserve"> / </w:t>
            </w:r>
            <w:proofErr w:type="spellStart"/>
            <w:r>
              <w:t>min_samples_leaf</w:t>
            </w:r>
            <w:proofErr w:type="spellEnd"/>
            <w:r>
              <w:t xml:space="preserve"> / threshold</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150 / 4 / 0.06 / 15 / 8 / 0.59 (validation-tun</w:t>
            </w:r>
            <w:r>
              <w:t>ed)</w:t>
            </w:r>
          </w:p>
        </w:tc>
      </w:tr>
      <w:tr w:rsidR="00FF3D98">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All models</w:t>
            </w:r>
          </w:p>
        </w:tc>
        <w:tc>
          <w:tcPr>
            <w:tcW w:w="3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Random seed / train-test split</w:t>
            </w:r>
          </w:p>
        </w:tc>
        <w:tc>
          <w:tcPr>
            <w:tcW w:w="3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42 / 80% train, 20% test (60/10/30 for the validation-tuned Gradient Boosting model)</w:t>
            </w:r>
          </w:p>
        </w:tc>
      </w:tr>
    </w:tbl>
    <w:p w:rsidR="00FF3D98" w:rsidRDefault="00E568FA">
      <w:pPr>
        <w:pStyle w:val="Heading2"/>
      </w:pPr>
      <w:r>
        <w:t>E. Evaluation metrics</w:t>
      </w:r>
    </w:p>
    <w:p w:rsidR="00FF3D98" w:rsidRDefault="00E568FA">
      <w:pPr>
        <w:spacing w:after="160"/>
        <w:jc w:val="both"/>
      </w:pPr>
      <w:r>
        <w:t>For each class c, with true positives TP꜀, false positives FP꜀, and false negatives FN꜀:</w:t>
      </w:r>
    </w:p>
    <w:p w:rsidR="00FF3D98" w:rsidRDefault="00E568FA">
      <w:pPr>
        <w:spacing w:before="100" w:after="160"/>
        <w:jc w:val="center"/>
      </w:pPr>
      <w:r>
        <w:rPr>
          <w:i/>
          <w:iCs/>
        </w:rPr>
        <w:t>Precision꜀ = TP꜀ / (TP꜀ + FP</w:t>
      </w:r>
      <w:proofErr w:type="gramStart"/>
      <w:r>
        <w:rPr>
          <w:i/>
          <w:iCs/>
        </w:rPr>
        <w:t xml:space="preserve">꜀)   </w:t>
      </w:r>
      <w:proofErr w:type="gramEnd"/>
      <w:r>
        <w:rPr>
          <w:i/>
          <w:iCs/>
        </w:rPr>
        <w:t xml:space="preserve">   Recall꜀ = TP꜀ / (TP꜀ + FN꜀)      F1꜀ = 2·Precision꜀·Recall꜀ / (Precision꜀ + Recall꜀)</w:t>
      </w:r>
    </w:p>
    <w:p w:rsidR="00FF3D98" w:rsidRDefault="00E568FA">
      <w:pPr>
        <w:spacing w:after="160"/>
        <w:jc w:val="both"/>
      </w:pPr>
      <w:r>
        <w:t>Macro-F1 is the unweighted mean of per-class F1 scores. Receiver Operating Characteristic (ROC) curves were computed one-vs-rest per cl</w:t>
      </w:r>
      <w:r>
        <w:t>ass by sweeping the predicted-probability threshold and plotting True Positive Rate against False Positive Rate; Area Under the Curve (AUC) was computed via the trapezoidal rule.</w:t>
      </w:r>
    </w:p>
    <w:p w:rsidR="00FF3D98" w:rsidRDefault="00E568FA">
      <w:pPr>
        <w:spacing w:after="160"/>
        <w:jc w:val="both"/>
      </w:pPr>
      <w:r>
        <w:t>For the Gradient Boosting model specifically (Section IV-B.4), the primary da</w:t>
      </w:r>
      <w:r>
        <w:t xml:space="preserve">taset was split 60/10/30 into training, validation, and held-out test sets (seed 42). The classification threshold applied to </w:t>
      </w:r>
      <w:proofErr w:type="gramStart"/>
      <w:r>
        <w:t>P̂(</w:t>
      </w:r>
      <w:proofErr w:type="gramEnd"/>
      <w:r>
        <w:t>GOOD | x) was selected to maximize macro-F1 on the validation split only, then applied unchanged to the untouched test split; n</w:t>
      </w:r>
      <w:r>
        <w:t>o threshold, hyperparameter, or model-selection decision was made using test-set labels, avoiding the threshold-leakage that would otherwise inflate the reported test performance.</w:t>
      </w:r>
    </w:p>
    <w:p w:rsidR="00FF3D98" w:rsidRDefault="00E568FA">
      <w:r>
        <w:br w:type="page"/>
      </w:r>
    </w:p>
    <w:p w:rsidR="00FF3D98" w:rsidRDefault="00E568FA">
      <w:pPr>
        <w:pStyle w:val="Heading1"/>
      </w:pPr>
      <w:r>
        <w:lastRenderedPageBreak/>
        <w:t>V. Results</w:t>
      </w:r>
    </w:p>
    <w:p w:rsidR="00FF3D98" w:rsidRDefault="00E568FA">
      <w:pPr>
        <w:pStyle w:val="Heading2"/>
      </w:pPr>
      <w:r>
        <w:t>A. Overall model comparison</w:t>
      </w:r>
    </w:p>
    <w:p w:rsidR="00FF3D98" w:rsidRDefault="00E568FA">
      <w:pPr>
        <w:spacing w:after="240"/>
        <w:jc w:val="center"/>
      </w:pPr>
      <w:r>
        <w:rPr>
          <w:i/>
          <w:iCs/>
          <w:sz w:val="20"/>
          <w:szCs w:val="20"/>
        </w:rPr>
        <w:t>TABLE V.  Model comparison, full 4-</w:t>
      </w:r>
      <w:r>
        <w:rPr>
          <w:i/>
          <w:iCs/>
          <w:sz w:val="20"/>
          <w:szCs w:val="20"/>
        </w:rPr>
        <w:t>class problem (held-out test set, n = 11,199)</w:t>
      </w: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1600"/>
        <w:gridCol w:w="1600"/>
        <w:gridCol w:w="1760"/>
        <w:gridCol w:w="2000"/>
      </w:tblGrid>
      <w:tr w:rsidR="00FF3D98">
        <w:trPr>
          <w:tblHeader/>
        </w:trPr>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Model</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Accuracy</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Macro F1</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Binary acc.</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Notes</w:t>
            </w:r>
          </w:p>
        </w:tc>
      </w:tr>
      <w:tr w:rsidR="00FF3D98">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Gaussian Naive Bayes</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38.5%</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0.347</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Independence assumption violated</w:t>
            </w:r>
          </w:p>
        </w:tc>
      </w:tr>
      <w:tr w:rsidR="00FF3D98">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Decision Tree</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74.5%</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0.740</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99.96%</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Baseline (original thesis method)</w:t>
            </w:r>
          </w:p>
        </w:tc>
      </w:tr>
      <w:tr w:rsidR="00FF3D98">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Random Forest</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74.3%</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0.752</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100.00%</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Proposed model</w:t>
            </w:r>
          </w:p>
        </w:tc>
      </w:tr>
    </w:tbl>
    <w:p w:rsidR="00FF3D98" w:rsidRDefault="00E568FA">
      <w:pPr>
        <w:spacing w:before="160" w:after="40"/>
        <w:jc w:val="center"/>
      </w:pPr>
      <w:r>
        <w:rPr>
          <w:noProof/>
        </w:rPr>
        <w:drawing>
          <wp:inline distT="0" distB="0" distL="0" distR="0">
            <wp:extent cx="3810000" cy="2343150"/>
            <wp:effectExtent l="0" t="0" r="0" b="0"/>
            <wp:docPr id="3" name="image1.png" descr="Model comparison chart"/>
            <wp:cNvGraphicFramePr/>
            <a:graphic xmlns:a="http://schemas.openxmlformats.org/drawingml/2006/main">
              <a:graphicData uri="http://schemas.openxmlformats.org/drawingml/2006/picture">
                <pic:pic xmlns:pic="http://schemas.openxmlformats.org/drawingml/2006/picture">
                  <pic:nvPicPr>
                    <pic:cNvPr id="0" name="image1.png" descr="Model comparison chart"/>
                    <pic:cNvPicPr preferRelativeResize="0"/>
                  </pic:nvPicPr>
                  <pic:blipFill>
                    <a:blip r:embed="rId6"/>
                    <a:srcRect/>
                    <a:stretch>
                      <a:fillRect/>
                    </a:stretch>
                  </pic:blipFill>
                  <pic:spPr>
                    <a:xfrm>
                      <a:off x="0" y="0"/>
                      <a:ext cx="3810000" cy="2343150"/>
                    </a:xfrm>
                    <a:prstGeom prst="rect">
                      <a:avLst/>
                    </a:prstGeom>
                    <a:ln/>
                  </pic:spPr>
                </pic:pic>
              </a:graphicData>
            </a:graphic>
          </wp:inline>
        </w:drawing>
      </w:r>
    </w:p>
    <w:p w:rsidR="00FF3D98" w:rsidRDefault="00E568FA">
      <w:pPr>
        <w:spacing w:after="240"/>
        <w:jc w:val="center"/>
      </w:pPr>
      <w:r>
        <w:rPr>
          <w:i/>
          <w:iCs/>
          <w:sz w:val="20"/>
          <w:szCs w:val="20"/>
        </w:rPr>
        <w:t>Fig. 2.  Accuracy and macro-F1 by model, 4-class problem.</w:t>
      </w:r>
    </w:p>
    <w:p w:rsidR="00FF3D98" w:rsidRDefault="00E568FA">
      <w:pPr>
        <w:pStyle w:val="Heading2"/>
      </w:pPr>
      <w:r>
        <w:t>B. Confusion matrix</w:t>
      </w:r>
    </w:p>
    <w:p w:rsidR="00FF3D98" w:rsidRDefault="00E568FA">
      <w:pPr>
        <w:spacing w:after="160"/>
        <w:jc w:val="both"/>
      </w:pPr>
      <w:r>
        <w:t>Fig. 3 shows the row-normalized confusion matrix for the Random Forest model on the held-out test set. Normal and rich-mixture classes are classified with 100% accuracy; lean-mixture and low-voltage classes are frequently confused with each other, with rou</w:t>
      </w:r>
      <w:r>
        <w:t>ghly half of each misclassified as the other.</w:t>
      </w:r>
    </w:p>
    <w:p w:rsidR="00FF3D98" w:rsidRDefault="00E568FA">
      <w:pPr>
        <w:spacing w:before="160" w:after="40"/>
        <w:jc w:val="center"/>
      </w:pPr>
      <w:r>
        <w:rPr>
          <w:noProof/>
        </w:rPr>
        <w:lastRenderedPageBreak/>
        <w:drawing>
          <wp:inline distT="0" distB="0" distL="0" distR="0">
            <wp:extent cx="3619500" cy="3295650"/>
            <wp:effectExtent l="0" t="0" r="0" b="0"/>
            <wp:docPr id="2" name="image5.png" descr="Confusion matrix"/>
            <wp:cNvGraphicFramePr/>
            <a:graphic xmlns:a="http://schemas.openxmlformats.org/drawingml/2006/main">
              <a:graphicData uri="http://schemas.openxmlformats.org/drawingml/2006/picture">
                <pic:pic xmlns:pic="http://schemas.openxmlformats.org/drawingml/2006/picture">
                  <pic:nvPicPr>
                    <pic:cNvPr id="0" name="image5.png" descr="Confusion matrix"/>
                    <pic:cNvPicPr preferRelativeResize="0"/>
                  </pic:nvPicPr>
                  <pic:blipFill>
                    <a:blip r:embed="rId7"/>
                    <a:srcRect/>
                    <a:stretch>
                      <a:fillRect/>
                    </a:stretch>
                  </pic:blipFill>
                  <pic:spPr>
                    <a:xfrm>
                      <a:off x="0" y="0"/>
                      <a:ext cx="3619500" cy="3295650"/>
                    </a:xfrm>
                    <a:prstGeom prst="rect">
                      <a:avLst/>
                    </a:prstGeom>
                    <a:ln/>
                  </pic:spPr>
                </pic:pic>
              </a:graphicData>
            </a:graphic>
          </wp:inline>
        </w:drawing>
      </w:r>
    </w:p>
    <w:p w:rsidR="00FF3D98" w:rsidRDefault="00E568FA">
      <w:pPr>
        <w:spacing w:after="240"/>
        <w:jc w:val="center"/>
      </w:pPr>
      <w:r>
        <w:rPr>
          <w:i/>
          <w:iCs/>
          <w:sz w:val="20"/>
          <w:szCs w:val="20"/>
        </w:rPr>
        <w:t>Fig. 3.  Random Forest confusion matrix (row-normalized), 4-class test set.</w:t>
      </w:r>
    </w:p>
    <w:p w:rsidR="00FF3D98" w:rsidRDefault="00E568FA">
      <w:pPr>
        <w:pStyle w:val="Heading2"/>
      </w:pPr>
      <w:r>
        <w:t>C. ROC analysis</w:t>
      </w:r>
    </w:p>
    <w:p w:rsidR="00FF3D98" w:rsidRDefault="00066263">
      <w:pPr>
        <w:spacing w:after="160"/>
        <w:jc w:val="both"/>
        <w:rPr>
          <w:rFonts w:ascii="Gungsuh" w:eastAsia="Gungsuh" w:hAnsi="Gungsuh" w:cs="Gungsuh"/>
        </w:rPr>
      </w:pPr>
      <w:r w:rsidRPr="00066263">
        <w:rPr>
          <w:rFonts w:ascii="Gungsuh" w:eastAsia="Gungsuh" w:hAnsi="Gungsuh" w:cs="Gungsuh"/>
        </w:rPr>
        <w:t>One-vs-rest ROC curves (Figure 4) mirror the observation from the confusion matrix, yielding excellent separability for both Normal and Rich-mixture classes (AUC ≈ 1.00)</w:t>
      </w:r>
      <w:r>
        <w:rPr>
          <w:rFonts w:ascii="Gungsuh" w:eastAsia="Gungsuh" w:hAnsi="Gungsuh" w:cs="Gungsuh"/>
        </w:rPr>
        <w:t xml:space="preserve"> </w:t>
      </w:r>
      <w:r w:rsidRPr="00066263">
        <w:rPr>
          <w:rFonts w:ascii="Gungsuh" w:eastAsia="Gungsuh" w:hAnsi="Gungsuh" w:cs="Gungsuh"/>
        </w:rPr>
        <w:t>but exhibiting much lower (although still above chance) AUC values for the other two classes (Lean-mixture and Low-voltage), which as would be expected from our earlier confusion results are to some extent confusable.</w:t>
      </w:r>
    </w:p>
    <w:p w:rsidR="00FF3D98" w:rsidRDefault="00E568FA">
      <w:pPr>
        <w:spacing w:before="160" w:after="40"/>
        <w:jc w:val="center"/>
      </w:pPr>
      <w:r>
        <w:rPr>
          <w:noProof/>
        </w:rPr>
        <w:lastRenderedPageBreak/>
        <w:drawing>
          <wp:inline distT="0" distB="0" distL="0" distR="0">
            <wp:extent cx="3619500" cy="3295650"/>
            <wp:effectExtent l="0" t="0" r="0" b="0"/>
            <wp:docPr id="5" name="image2.png" descr="ROC curves"/>
            <wp:cNvGraphicFramePr/>
            <a:graphic xmlns:a="http://schemas.openxmlformats.org/drawingml/2006/main">
              <a:graphicData uri="http://schemas.openxmlformats.org/drawingml/2006/picture">
                <pic:pic xmlns:pic="http://schemas.openxmlformats.org/drawingml/2006/picture">
                  <pic:nvPicPr>
                    <pic:cNvPr id="0" name="image2.png" descr="ROC curves"/>
                    <pic:cNvPicPr preferRelativeResize="0"/>
                  </pic:nvPicPr>
                  <pic:blipFill>
                    <a:blip r:embed="rId8"/>
                    <a:srcRect/>
                    <a:stretch>
                      <a:fillRect/>
                    </a:stretch>
                  </pic:blipFill>
                  <pic:spPr>
                    <a:xfrm>
                      <a:off x="0" y="0"/>
                      <a:ext cx="3619500" cy="3295650"/>
                    </a:xfrm>
                    <a:prstGeom prst="rect">
                      <a:avLst/>
                    </a:prstGeom>
                    <a:ln/>
                  </pic:spPr>
                </pic:pic>
              </a:graphicData>
            </a:graphic>
          </wp:inline>
        </w:drawing>
      </w:r>
    </w:p>
    <w:p w:rsidR="00FF3D98" w:rsidRDefault="00E568FA">
      <w:pPr>
        <w:spacing w:after="240"/>
        <w:jc w:val="center"/>
      </w:pPr>
      <w:r>
        <w:rPr>
          <w:i/>
          <w:iCs/>
          <w:sz w:val="20"/>
          <w:szCs w:val="20"/>
        </w:rPr>
        <w:t>Fig. 4.  One-vs-rest ROC curves, Random Forest, 4-class test set.</w:t>
      </w:r>
    </w:p>
    <w:p w:rsidR="00FF3D98" w:rsidRDefault="00E568FA">
      <w:pPr>
        <w:pStyle w:val="Heading2"/>
      </w:pPr>
      <w:r>
        <w:t xml:space="preserve">D. </w:t>
      </w:r>
      <w:r>
        <w:t>Two-stage pipeline performance</w:t>
      </w:r>
    </w:p>
    <w:p w:rsidR="00FF3D98" w:rsidRDefault="00E568FA">
      <w:pPr>
        <w:spacing w:after="160"/>
      </w:pPr>
      <w:r>
        <w:rPr>
          <w:b/>
          <w:bCs/>
        </w:rPr>
        <w:t>Stage 1 (binary condition detection): 100.0% accuracy, macro-F1 = 1.00 (n = 11,199).</w:t>
      </w:r>
    </w:p>
    <w:p w:rsidR="00FF3D98" w:rsidRDefault="00E568FA">
      <w:pPr>
        <w:spacing w:after="160"/>
      </w:pPr>
      <w:r>
        <w:rPr>
          <w:b/>
          <w:bCs/>
        </w:rPr>
        <w:t>Stage 2 (fault-subtype identification), evaluated on faulty samples only (n = 8,065): 64.8% accuracy, macro-F1 = 0.675.</w:t>
      </w:r>
    </w:p>
    <w:p w:rsidR="00FF3D98" w:rsidRDefault="00E568FA">
      <w:pPr>
        <w:spacing w:after="240"/>
        <w:jc w:val="center"/>
      </w:pPr>
      <w:r>
        <w:rPr>
          <w:i/>
          <w:iCs/>
          <w:sz w:val="20"/>
          <w:szCs w:val="20"/>
        </w:rPr>
        <w:t>TABLE VI.  Stage-2 p</w:t>
      </w:r>
      <w:r>
        <w:rPr>
          <w:i/>
          <w:iCs/>
          <w:sz w:val="20"/>
          <w:szCs w:val="20"/>
        </w:rPr>
        <w:t>er-class performance (fault subtype identification)</w:t>
      </w: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0"/>
        <w:gridCol w:w="1560"/>
        <w:gridCol w:w="1560"/>
        <w:gridCol w:w="1560"/>
        <w:gridCol w:w="1480"/>
      </w:tblGrid>
      <w:tr w:rsidR="00FF3D98">
        <w:trPr>
          <w:tblHeader/>
        </w:trPr>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Fault type</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Precision</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Recall</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F1</w:t>
            </w:r>
          </w:p>
        </w:tc>
        <w:tc>
          <w:tcPr>
            <w:tcW w:w="14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Support</w:t>
            </w:r>
          </w:p>
        </w:tc>
      </w:tr>
      <w:tr w:rsidR="00FF3D98">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Rich mixture</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1.00</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1.00</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1.00</w:t>
            </w:r>
          </w:p>
        </w:tc>
        <w:tc>
          <w:tcPr>
            <w:tcW w:w="14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2,235</w:t>
            </w:r>
          </w:p>
        </w:tc>
      </w:tr>
      <w:tr w:rsidR="00FF3D98">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Lean mixture</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0.52</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0.53</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0.52</w:t>
            </w:r>
          </w:p>
        </w:tc>
        <w:tc>
          <w:tcPr>
            <w:tcW w:w="14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2,990</w:t>
            </w:r>
          </w:p>
        </w:tc>
      </w:tr>
      <w:tr w:rsidR="00FF3D98">
        <w:tc>
          <w:tcPr>
            <w:tcW w:w="3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Low ignition voltage</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0.49</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0.48</w:t>
            </w:r>
          </w:p>
        </w:tc>
        <w:tc>
          <w:tcPr>
            <w:tcW w:w="15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0.49</w:t>
            </w:r>
          </w:p>
        </w:tc>
        <w:tc>
          <w:tcPr>
            <w:tcW w:w="14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2,840</w:t>
            </w:r>
          </w:p>
        </w:tc>
      </w:tr>
    </w:tbl>
    <w:p w:rsidR="00FF3D98" w:rsidRDefault="00E568FA">
      <w:pPr>
        <w:spacing w:after="160"/>
      </w:pPr>
      <w:r>
        <w:rPr>
          <w:rFonts w:ascii="Cardo" w:eastAsia="Cardo" w:hAnsi="Cardo" w:cs="Cardo"/>
          <w:b/>
          <w:bCs/>
        </w:rPr>
        <w:t>End-to-end pipeline accuracy on the original 4-class labels (Stage 1 → Stage 2 combined): 74.7%.</w:t>
      </w:r>
    </w:p>
    <w:p w:rsidR="00FF3D98" w:rsidRDefault="00E568FA">
      <w:pPr>
        <w:pStyle w:val="Heading2"/>
      </w:pPr>
      <w:r>
        <w:t>E. Key finding</w:t>
      </w:r>
    </w:p>
    <w:p w:rsidR="00FF3D98" w:rsidRDefault="00066263">
      <w:pPr>
        <w:spacing w:after="160"/>
        <w:jc w:val="both"/>
      </w:pPr>
      <w:r w:rsidRPr="00066263">
        <w:t xml:space="preserve">The 14 steady-state variables are perfectly separable from all other classes in these rich-mixture faults, in all the tested models (Table IV, Fig. 3, Fig. 4). Lean-mixture and low-voltage faults, on the other hand, tend to overlap not only with one another, but also with each other when using any of the classifiers; this is a characteristic of the feature space, not of any particular algorithm. This means that the instant reading of </w:t>
      </w:r>
      <w:proofErr w:type="spellStart"/>
      <w:r w:rsidRPr="00066263">
        <w:t>OBD</w:t>
      </w:r>
      <w:proofErr w:type="spellEnd"/>
      <w:r w:rsidRPr="00066263">
        <w:t>-style information is enough to reliably detect that there is something wrong (Stage 1 is solved), but reliably discriminating between certain fault subtypes will likely require additional signal information, e.g. short time-series/derivative features, or another sensor channel, a concrete, testable direction for future work (Section VIII).</w:t>
      </w:r>
    </w:p>
    <w:p w:rsidR="00FF3D98" w:rsidRDefault="00E568FA">
      <w:pPr>
        <w:pStyle w:val="Heading2"/>
      </w:pPr>
      <w:r>
        <w:lastRenderedPageBreak/>
        <w:t>F. Feature importance</w:t>
      </w:r>
    </w:p>
    <w:p w:rsidR="00FF3D98" w:rsidRDefault="00066263">
      <w:pPr>
        <w:spacing w:after="160"/>
        <w:jc w:val="both"/>
      </w:pPr>
      <w:r w:rsidRPr="00066263">
        <w:t>Importance based on mean impurity decrease (Stage-1 Random Forest, all data: CO (0.159), Force (0.123), fuel consumption L/H (0.089), HC (0.088), fuel consumption L/100km (0.087)). This appears to be logically sound as the first three indicators are measures of combustion mixture quality and the latter three represent the effect of a fault on the resultant output of the engine.</w:t>
      </w:r>
    </w:p>
    <w:p w:rsidR="00FF3D98" w:rsidRDefault="00E568FA">
      <w:pPr>
        <w:spacing w:before="160" w:after="40"/>
        <w:jc w:val="center"/>
      </w:pPr>
      <w:r>
        <w:rPr>
          <w:noProof/>
        </w:rPr>
        <w:drawing>
          <wp:inline distT="0" distB="0" distL="0" distR="0">
            <wp:extent cx="3429000" cy="2447925"/>
            <wp:effectExtent l="0" t="0" r="0" b="0"/>
            <wp:docPr id="4" name="image4.png" descr="Feature importance chart"/>
            <wp:cNvGraphicFramePr/>
            <a:graphic xmlns:a="http://schemas.openxmlformats.org/drawingml/2006/main">
              <a:graphicData uri="http://schemas.openxmlformats.org/drawingml/2006/picture">
                <pic:pic xmlns:pic="http://schemas.openxmlformats.org/drawingml/2006/picture">
                  <pic:nvPicPr>
                    <pic:cNvPr id="0" name="image4.png" descr="Feature importance chart"/>
                    <pic:cNvPicPr preferRelativeResize="0"/>
                  </pic:nvPicPr>
                  <pic:blipFill>
                    <a:blip r:embed="rId9"/>
                    <a:srcRect/>
                    <a:stretch>
                      <a:fillRect/>
                    </a:stretch>
                  </pic:blipFill>
                  <pic:spPr>
                    <a:xfrm>
                      <a:off x="0" y="0"/>
                      <a:ext cx="3429000" cy="2447925"/>
                    </a:xfrm>
                    <a:prstGeom prst="rect">
                      <a:avLst/>
                    </a:prstGeom>
                    <a:ln/>
                  </pic:spPr>
                </pic:pic>
              </a:graphicData>
            </a:graphic>
          </wp:inline>
        </w:drawing>
      </w:r>
    </w:p>
    <w:p w:rsidR="00FF3D98" w:rsidRDefault="00E568FA">
      <w:pPr>
        <w:spacing w:after="240"/>
        <w:jc w:val="center"/>
      </w:pPr>
      <w:r>
        <w:rPr>
          <w:i/>
          <w:iCs/>
          <w:sz w:val="20"/>
          <w:szCs w:val="20"/>
        </w:rPr>
        <w:t>Fig. 5.  Random Forest feature importance, Stage-1 binary model.</w:t>
      </w:r>
    </w:p>
    <w:p w:rsidR="00FF3D98" w:rsidRDefault="00E568FA">
      <w:pPr>
        <w:pStyle w:val="Heading2"/>
      </w:pPr>
      <w:r>
        <w:t>G. Primary dataset benchmark</w:t>
      </w:r>
    </w:p>
    <w:p w:rsidR="00FF3D98" w:rsidRDefault="00503206">
      <w:pPr>
        <w:spacing w:after="160"/>
        <w:jc w:val="both"/>
      </w:pPr>
      <w:r w:rsidRPr="00503206">
        <w:t>The identical three-model comparison was rerun on the primary project data-set [9</w:t>
      </w:r>
      <w:proofErr w:type="gramStart"/>
      <w:r w:rsidRPr="00503206">
        <w:t>],[</w:t>
      </w:r>
      <w:proofErr w:type="gramEnd"/>
      <w:r w:rsidRPr="00503206">
        <w:t>12] (19,535 records, six attributes, binary GOOD/BAD target attribute), using the exact same 70/30 split between training and test sets that had been used in the original thesis for fair comparability. For comparison purposes the results from the original thesis's own three-way comparison of twenty different configurations of MATLAB’s Classification Learner is again shown in Table VII, which also already indicates the advantage that ensemble approaches (Boosted Trees) already had over all single-tree approaches examined.</w:t>
      </w:r>
    </w:p>
    <w:p w:rsidR="00FF3D98" w:rsidRDefault="00E568FA">
      <w:pPr>
        <w:spacing w:after="240"/>
        <w:jc w:val="center"/>
      </w:pPr>
      <w:r>
        <w:rPr>
          <w:i/>
          <w:iCs/>
          <w:sz w:val="20"/>
          <w:szCs w:val="20"/>
        </w:rPr>
        <w:t>TABLE VII.  Original thesis's comparative ML mo</w:t>
      </w:r>
      <w:r>
        <w:rPr>
          <w:i/>
          <w:iCs/>
          <w:sz w:val="20"/>
          <w:szCs w:val="20"/>
        </w:rPr>
        <w:t>del results (MATLAB Classification Learner) [9]</w:t>
      </w: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0"/>
        <w:gridCol w:w="2980"/>
        <w:gridCol w:w="2980"/>
      </w:tblGrid>
      <w:tr w:rsidR="00FF3D98">
        <w:trPr>
          <w:tblHeader/>
        </w:trPr>
        <w:tc>
          <w:tcPr>
            <w:tcW w:w="3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Model</w:t>
            </w:r>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Accuracy</w:t>
            </w:r>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Model</w:t>
            </w:r>
          </w:p>
        </w:tc>
      </w:tr>
      <w:tr w:rsidR="00FF3D98">
        <w:tc>
          <w:tcPr>
            <w:tcW w:w="3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Linear </w:t>
            </w:r>
            <w:proofErr w:type="spellStart"/>
            <w:r>
              <w:t>SVM</w:t>
            </w:r>
            <w:proofErr w:type="spellEnd"/>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65.5%</w:t>
            </w:r>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Fine Decision Tree (65.4%)</w:t>
            </w:r>
          </w:p>
        </w:tc>
      </w:tr>
      <w:tr w:rsidR="00FF3D98">
        <w:tc>
          <w:tcPr>
            <w:tcW w:w="3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Medium Gaussian </w:t>
            </w:r>
            <w:proofErr w:type="spellStart"/>
            <w:r>
              <w:t>SVM</w:t>
            </w:r>
            <w:proofErr w:type="spellEnd"/>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66.1%</w:t>
            </w:r>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Coarse Decision Tree (65.5%)</w:t>
            </w:r>
          </w:p>
        </w:tc>
      </w:tr>
      <w:tr w:rsidR="00FF3D98">
        <w:tc>
          <w:tcPr>
            <w:tcW w:w="3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Coarse Gaussian </w:t>
            </w:r>
            <w:proofErr w:type="spellStart"/>
            <w:r>
              <w:t>SVM</w:t>
            </w:r>
            <w:proofErr w:type="spellEnd"/>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65.5%</w:t>
            </w:r>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Medium Decision Tree (65.7%)</w:t>
            </w:r>
          </w:p>
        </w:tc>
      </w:tr>
      <w:tr w:rsidR="00FF3D98">
        <w:tc>
          <w:tcPr>
            <w:tcW w:w="3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Coarse </w:t>
            </w:r>
            <w:proofErr w:type="spellStart"/>
            <w:r>
              <w:t>KNN</w:t>
            </w:r>
            <w:proofErr w:type="spellEnd"/>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66.0%</w:t>
            </w:r>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Bagged Trees (63.2%)</w:t>
            </w:r>
          </w:p>
        </w:tc>
      </w:tr>
      <w:tr w:rsidR="00FF3D98">
        <w:tc>
          <w:tcPr>
            <w:tcW w:w="3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Boosted Trees (best overall)</w:t>
            </w:r>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66.5%</w:t>
            </w:r>
          </w:p>
        </w:tc>
        <w:tc>
          <w:tcPr>
            <w:tcW w:w="29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RUSBoosted</w:t>
            </w:r>
            <w:proofErr w:type="spellEnd"/>
            <w:r>
              <w:t xml:space="preserve"> Trees (62.3%)</w:t>
            </w:r>
          </w:p>
        </w:tc>
      </w:tr>
    </w:tbl>
    <w:p w:rsidR="00FF3D98" w:rsidRDefault="00503206">
      <w:pPr>
        <w:spacing w:after="160"/>
        <w:jc w:val="both"/>
      </w:pPr>
      <w:r w:rsidRPr="00503206">
        <w:t xml:space="preserve">This same pattern is also seen in this paper's from-scratch benchmark (Table VIII): a standard Random Forest achieves the same accuracy (66.3% vs. 65.7%) but has a slight macro-F1 regression (0.594 vs. 0.607), similar to that of the original thesis (recall on BAD: 34.5%, compared to 40.6% in the original thesis). The problem can be solved directly using class balanced bootstrap sampling per-class (Section IV-B.3), and macro-F1 reaches 0.623, higher than the original decision tree, while the overall accuracy is reduced by only 63.1% - 64.3% and the recall score of the BAD class is almost doubled to 67.2%. It is a </w:t>
      </w:r>
      <w:r w:rsidRPr="00503206">
        <w:lastRenderedPageBreak/>
        <w:t xml:space="preserve">more relevant trade-off for a fault detection system - where a false negative is a costlier failure than a false alarm - than just raw accuracy, and the Gradient Boosting result presented next further improves the </w:t>
      </w:r>
      <w:proofErr w:type="spellStart"/>
      <w:r w:rsidRPr="00503206">
        <w:t>trade</w:t>
      </w:r>
      <w:r>
        <w:t xml:space="preserve"> </w:t>
      </w:r>
      <w:r w:rsidRPr="00503206">
        <w:t>off</w:t>
      </w:r>
      <w:proofErr w:type="spellEnd"/>
      <w:r w:rsidRPr="00503206">
        <w:t>.</w:t>
      </w:r>
    </w:p>
    <w:p w:rsidR="00FF3D98" w:rsidRDefault="00E568FA">
      <w:pPr>
        <w:spacing w:after="240"/>
        <w:jc w:val="center"/>
      </w:pPr>
      <w:r>
        <w:rPr>
          <w:i/>
          <w:iCs/>
          <w:sz w:val="20"/>
          <w:szCs w:val="20"/>
        </w:rPr>
        <w:t>TABLE VIII.  Model comparison, primary dataset (held-out test set, n = 5,860)</w:t>
      </w: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1600"/>
        <w:gridCol w:w="1600"/>
        <w:gridCol w:w="1760"/>
        <w:gridCol w:w="2000"/>
      </w:tblGrid>
      <w:tr w:rsidR="00FF3D98">
        <w:trPr>
          <w:tblHeader/>
        </w:trPr>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Model</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Accuracy</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Macro F1</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BAD recall</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Notes</w:t>
            </w:r>
          </w:p>
        </w:tc>
      </w:tr>
      <w:tr w:rsidR="00FF3D98">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Gaussian Naive Bayes</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66.3%</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0.587</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32.2%</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Independence assumption violated</w:t>
            </w:r>
          </w:p>
        </w:tc>
      </w:tr>
      <w:tr w:rsidR="00FF3D98">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Decision Tree (original thesis [9])</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65.7%</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0.607</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40.6%</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MATLAB, reported baseline</w:t>
            </w:r>
          </w:p>
        </w:tc>
      </w:tr>
      <w:tr w:rsidR="00FF3D98">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Decision Tree (this study)</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64.3%</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0.586</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N/A</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NumPy re-implementation</w:t>
            </w:r>
          </w:p>
        </w:tc>
      </w:tr>
      <w:tr w:rsidR="00FF3D98">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Random Forest (standard)</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66.3%</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0.594</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34.5%</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Matches accuracy, weak minority recall</w:t>
            </w:r>
          </w:p>
        </w:tc>
      </w:tr>
      <w:tr w:rsidR="00FF3D98">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Random Forest (class-balanced)</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63.1%</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0.623</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67.2%</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Improves recall over standard RF</w:t>
            </w:r>
          </w:p>
        </w:tc>
      </w:tr>
      <w:tr w:rsidR="00FF3D98">
        <w:tc>
          <w:tcPr>
            <w:tcW w:w="24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Gradient Boosting (validation-tuned)</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64.4%</w:t>
            </w:r>
          </w:p>
        </w:tc>
        <w:tc>
          <w:tcPr>
            <w:tcW w:w="1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0.632</w:t>
            </w:r>
          </w:p>
        </w:tc>
        <w:tc>
          <w:tcPr>
            <w:tcW w:w="1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63.8%</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Best macro-F1; recommended for deployment</w:t>
            </w:r>
          </w:p>
        </w:tc>
      </w:tr>
    </w:tbl>
    <w:p w:rsidR="00FF3D98" w:rsidRDefault="00503206">
      <w:pPr>
        <w:spacing w:after="160"/>
        <w:jc w:val="both"/>
      </w:pPr>
      <w:r w:rsidRPr="00503206">
        <w:t xml:space="preserve">To take that gap further, a Gradient Boosting Classifier [13] (IV-B.4) was also trained on the same six-feature primary dataset with an explicit 60/10/30 train/validation/test split (IV-E) so that its classification threshold could be adjusted without the validation set influencing decisions about test data. Adjusting this classification threshold to any value between 0 and 1 against </w:t>
      </w:r>
      <w:proofErr w:type="gramStart"/>
      <w:r w:rsidRPr="00503206">
        <w:t>P(</w:t>
      </w:r>
      <w:proofErr w:type="gramEnd"/>
      <w:r w:rsidRPr="00503206">
        <w:t>GOOD | x) on the validation set and choosing the value which yields maximum validation macro-F1 results in an optimal threshold of 0.59 (e.g., classifying as GOOD requires model prediction ≥0.59, not just the default 0.5). Tested on the unused test set this performs at 64.4% accuracy with macro-F1 0.632 (Table VIII) – better than all models on this dataset whilst remaining closely matched between BAD- and GOOD- class recalls (63.8%, 64.7%). This is the model this paper suggests for use on the primary dataset and what is actually running as Mode 2 on the dashboard (VI-F).</w:t>
      </w:r>
    </w:p>
    <w:p w:rsidR="00FF3D98" w:rsidRDefault="00E568FA">
      <w:pPr>
        <w:spacing w:before="160" w:after="40"/>
        <w:jc w:val="center"/>
      </w:pPr>
      <w:r>
        <w:rPr>
          <w:noProof/>
        </w:rPr>
        <w:lastRenderedPageBreak/>
        <w:drawing>
          <wp:inline distT="0" distB="0" distL="0" distR="0">
            <wp:extent cx="4381500" cy="2390775"/>
            <wp:effectExtent l="0" t="0" r="0" b="0"/>
            <wp:docPr id="7" name="image7.png" descr="Primary dataset model comparison"/>
            <wp:cNvGraphicFramePr/>
            <a:graphic xmlns:a="http://schemas.openxmlformats.org/drawingml/2006/main">
              <a:graphicData uri="http://schemas.openxmlformats.org/drawingml/2006/picture">
                <pic:pic xmlns:pic="http://schemas.openxmlformats.org/drawingml/2006/picture">
                  <pic:nvPicPr>
                    <pic:cNvPr id="0" name="image7.png" descr="Primary dataset model comparison"/>
                    <pic:cNvPicPr preferRelativeResize="0"/>
                  </pic:nvPicPr>
                  <pic:blipFill>
                    <a:blip r:embed="rId10"/>
                    <a:srcRect/>
                    <a:stretch>
                      <a:fillRect/>
                    </a:stretch>
                  </pic:blipFill>
                  <pic:spPr>
                    <a:xfrm>
                      <a:off x="0" y="0"/>
                      <a:ext cx="4381500" cy="2390775"/>
                    </a:xfrm>
                    <a:prstGeom prst="rect">
                      <a:avLst/>
                    </a:prstGeom>
                    <a:ln/>
                  </pic:spPr>
                </pic:pic>
              </a:graphicData>
            </a:graphic>
          </wp:inline>
        </w:drawing>
      </w:r>
    </w:p>
    <w:p w:rsidR="00FF3D98" w:rsidRDefault="00E568FA">
      <w:pPr>
        <w:spacing w:after="240"/>
        <w:jc w:val="center"/>
      </w:pPr>
      <w:r>
        <w:rPr>
          <w:i/>
          <w:iCs/>
          <w:sz w:val="20"/>
          <w:szCs w:val="20"/>
        </w:rPr>
        <w:t>Fig. 6.  Accuracy and macro-F1 by model, primary dataset (re</w:t>
      </w:r>
      <w:r>
        <w:rPr>
          <w:i/>
          <w:iCs/>
          <w:sz w:val="20"/>
          <w:szCs w:val="20"/>
        </w:rPr>
        <w:t>d bar marks the best macro-F1: Gradient Boosting).</w:t>
      </w:r>
    </w:p>
    <w:p w:rsidR="00FF3D98" w:rsidRDefault="00E568FA">
      <w:pPr>
        <w:spacing w:before="160" w:after="40"/>
        <w:jc w:val="center"/>
      </w:pPr>
      <w:r>
        <w:rPr>
          <w:noProof/>
        </w:rPr>
        <w:drawing>
          <wp:inline distT="0" distB="0" distL="0" distR="0">
            <wp:extent cx="2857500" cy="2600325"/>
            <wp:effectExtent l="0" t="0" r="0" b="0"/>
            <wp:docPr id="6" name="image8.png" descr="Primary dataset Gradient Boosting confusion matrix"/>
            <wp:cNvGraphicFramePr/>
            <a:graphic xmlns:a="http://schemas.openxmlformats.org/drawingml/2006/main">
              <a:graphicData uri="http://schemas.openxmlformats.org/drawingml/2006/picture">
                <pic:pic xmlns:pic="http://schemas.openxmlformats.org/drawingml/2006/picture">
                  <pic:nvPicPr>
                    <pic:cNvPr id="0" name="image8.png" descr="Primary dataset Gradient Boosting confusion matrix"/>
                    <pic:cNvPicPr preferRelativeResize="0"/>
                  </pic:nvPicPr>
                  <pic:blipFill>
                    <a:blip r:embed="rId11"/>
                    <a:srcRect/>
                    <a:stretch>
                      <a:fillRect/>
                    </a:stretch>
                  </pic:blipFill>
                  <pic:spPr>
                    <a:xfrm>
                      <a:off x="0" y="0"/>
                      <a:ext cx="2857500" cy="2600325"/>
                    </a:xfrm>
                    <a:prstGeom prst="rect">
                      <a:avLst/>
                    </a:prstGeom>
                    <a:ln/>
                  </pic:spPr>
                </pic:pic>
              </a:graphicData>
            </a:graphic>
          </wp:inline>
        </w:drawing>
      </w:r>
    </w:p>
    <w:p w:rsidR="00FF3D98" w:rsidRDefault="00E568FA">
      <w:pPr>
        <w:spacing w:after="240"/>
        <w:jc w:val="center"/>
      </w:pPr>
      <w:r>
        <w:rPr>
          <w:i/>
          <w:iCs/>
          <w:sz w:val="20"/>
          <w:szCs w:val="20"/>
        </w:rPr>
        <w:t>Fig. 7.  Gradient Boosting confusion matrix, primary dataset (recommended model).</w:t>
      </w:r>
    </w:p>
    <w:p w:rsidR="00FF3D98" w:rsidRDefault="00E568FA">
      <w:pPr>
        <w:spacing w:before="160" w:after="40"/>
        <w:jc w:val="center"/>
      </w:pPr>
      <w:r>
        <w:rPr>
          <w:noProof/>
        </w:rPr>
        <w:lastRenderedPageBreak/>
        <w:drawing>
          <wp:inline distT="0" distB="0" distL="0" distR="0">
            <wp:extent cx="2857500" cy="2600325"/>
            <wp:effectExtent l="0" t="0" r="0" b="0"/>
            <wp:docPr id="9" name="image3.png" descr="Primary dataset Gradient Boosting ROC curve"/>
            <wp:cNvGraphicFramePr/>
            <a:graphic xmlns:a="http://schemas.openxmlformats.org/drawingml/2006/main">
              <a:graphicData uri="http://schemas.openxmlformats.org/drawingml/2006/picture">
                <pic:pic xmlns:pic="http://schemas.openxmlformats.org/drawingml/2006/picture">
                  <pic:nvPicPr>
                    <pic:cNvPr id="0" name="image3.png" descr="Primary dataset Gradient Boosting ROC curve"/>
                    <pic:cNvPicPr preferRelativeResize="0"/>
                  </pic:nvPicPr>
                  <pic:blipFill>
                    <a:blip r:embed="rId12"/>
                    <a:srcRect/>
                    <a:stretch>
                      <a:fillRect/>
                    </a:stretch>
                  </pic:blipFill>
                  <pic:spPr>
                    <a:xfrm>
                      <a:off x="0" y="0"/>
                      <a:ext cx="2857500" cy="2600325"/>
                    </a:xfrm>
                    <a:prstGeom prst="rect">
                      <a:avLst/>
                    </a:prstGeom>
                    <a:ln/>
                  </pic:spPr>
                </pic:pic>
              </a:graphicData>
            </a:graphic>
          </wp:inline>
        </w:drawing>
      </w:r>
    </w:p>
    <w:p w:rsidR="00FF3D98" w:rsidRDefault="00E568FA">
      <w:pPr>
        <w:spacing w:after="240"/>
        <w:jc w:val="center"/>
      </w:pPr>
      <w:r>
        <w:rPr>
          <w:i/>
          <w:iCs/>
          <w:sz w:val="20"/>
          <w:szCs w:val="20"/>
        </w:rPr>
        <w:t>Fig. 8.  Gradient Boosting ROC curve, primary dataset (AUC = 0.696).</w:t>
      </w:r>
    </w:p>
    <w:p w:rsidR="00FF3D98" w:rsidRDefault="00503206">
      <w:pPr>
        <w:spacing w:after="160"/>
        <w:jc w:val="both"/>
      </w:pPr>
      <w:r w:rsidRPr="00503206">
        <w:t>Using this main dataset, feature importance of each feature (9) provides additional empirical evidence to our primary qualitative finding of the original thesis without being given prior knowledge of which features to predict: Engine RPM shows overwhelming influence (0.387) (as “the most influential prediction feature for engine conditions, is our primary feature of classification.” [9]), Fuel Pressure (0.160), Lubricant Oil Temperature (0.137), Coolant Pressure (0.107), Lubricant Oil Pressure (0.111) and Coolant Temperature (0.099).</w:t>
      </w:r>
      <w:r w:rsidR="00E568FA">
        <w:t xml:space="preserve"> This</w:t>
      </w:r>
      <w:r w:rsidR="00E568FA">
        <w:t xml:space="preserve"> agreement between an independent ensemble model and the original single-tree analysis is itself a form of validation of the original thesis's threshold-based root-cause logic (Section III-A), which was built around exactly this RPM-led hierarchy. A split-</w:t>
      </w:r>
      <w:r w:rsidR="00E568FA">
        <w:t>frequency-based importance measure computed for the Gradient Boosting model (Section V-G) ranks the same feature highest (Engine RPM, 0.29), followed by Lubricant Oil Temperature (0.21) and Fuel Pressure (0.19), corroborating this ranking across two struct</w:t>
      </w:r>
      <w:r w:rsidR="00E568FA">
        <w:t>urally different ensemble methods.</w:t>
      </w:r>
    </w:p>
    <w:p w:rsidR="00FF3D98" w:rsidRDefault="00E568FA">
      <w:pPr>
        <w:spacing w:before="160" w:after="40"/>
        <w:jc w:val="center"/>
      </w:pPr>
      <w:r>
        <w:rPr>
          <w:noProof/>
        </w:rPr>
        <w:drawing>
          <wp:inline distT="0" distB="0" distL="0" distR="0">
            <wp:extent cx="3810000" cy="2286000"/>
            <wp:effectExtent l="0" t="0" r="0" b="0"/>
            <wp:docPr id="8" name="image9.png" descr="Primary dataset feature importance"/>
            <wp:cNvGraphicFramePr/>
            <a:graphic xmlns:a="http://schemas.openxmlformats.org/drawingml/2006/main">
              <a:graphicData uri="http://schemas.openxmlformats.org/drawingml/2006/picture">
                <pic:pic xmlns:pic="http://schemas.openxmlformats.org/drawingml/2006/picture">
                  <pic:nvPicPr>
                    <pic:cNvPr id="0" name="image9.png" descr="Primary dataset feature importance"/>
                    <pic:cNvPicPr preferRelativeResize="0"/>
                  </pic:nvPicPr>
                  <pic:blipFill>
                    <a:blip r:embed="rId13"/>
                    <a:srcRect/>
                    <a:stretch>
                      <a:fillRect/>
                    </a:stretch>
                  </pic:blipFill>
                  <pic:spPr>
                    <a:xfrm>
                      <a:off x="0" y="0"/>
                      <a:ext cx="3810000" cy="2286000"/>
                    </a:xfrm>
                    <a:prstGeom prst="rect">
                      <a:avLst/>
                    </a:prstGeom>
                    <a:ln/>
                  </pic:spPr>
                </pic:pic>
              </a:graphicData>
            </a:graphic>
          </wp:inline>
        </w:drawing>
      </w:r>
    </w:p>
    <w:p w:rsidR="00FF3D98" w:rsidRDefault="00E568FA">
      <w:pPr>
        <w:spacing w:after="240"/>
        <w:jc w:val="center"/>
      </w:pPr>
      <w:r>
        <w:rPr>
          <w:i/>
          <w:iCs/>
          <w:sz w:val="20"/>
          <w:szCs w:val="20"/>
        </w:rPr>
        <w:t>Fig. 9.  Random Forest feature importance, primary dataset.</w:t>
      </w:r>
    </w:p>
    <w:p w:rsidR="00FF3D98" w:rsidRDefault="00E568FA">
      <w:r>
        <w:br w:type="page"/>
      </w:r>
    </w:p>
    <w:p w:rsidR="00FF3D98" w:rsidRDefault="00E568FA">
      <w:pPr>
        <w:pStyle w:val="Heading1"/>
      </w:pPr>
      <w:r>
        <w:lastRenderedPageBreak/>
        <w:t>VI. Diagnostic Dashboard</w:t>
      </w:r>
    </w:p>
    <w:p w:rsidR="00FF3D98" w:rsidRDefault="00E568FA">
      <w:pPr>
        <w:spacing w:after="160"/>
        <w:jc w:val="both"/>
        <w:rPr>
          <w:sz w:val="18"/>
          <w:szCs w:val="18"/>
        </w:rPr>
      </w:pPr>
      <w:r>
        <w:t xml:space="preserve">To translate the trained models into a tool usable by a working technician, both the </w:t>
      </w:r>
      <w:proofErr w:type="spellStart"/>
      <w:r>
        <w:t>EngineFaultDB</w:t>
      </w:r>
      <w:proofErr w:type="spellEnd"/>
      <w:r>
        <w:t xml:space="preserve"> two-stage Random Forest pipeline </w:t>
      </w:r>
      <w:r>
        <w:t xml:space="preserve">and the primary-dataset Gradient Boosting model were deployed together, as two selectable modes of a single self-contained, publicly hosted web application, live at: </w:t>
      </w:r>
      <w:hyperlink r:id="rId14">
        <w:r>
          <w:rPr>
            <w:b/>
            <w:bCs/>
            <w:color w:val="0563C1"/>
            <w:sz w:val="20"/>
            <w:szCs w:val="20"/>
            <w:u w:val="single"/>
          </w:rPr>
          <w:t>https://engine-dashboard.netlify.</w:t>
        </w:r>
        <w:r>
          <w:rPr>
            <w:b/>
            <w:bCs/>
            <w:color w:val="0563C1"/>
            <w:sz w:val="20"/>
            <w:szCs w:val="20"/>
            <w:u w:val="single"/>
          </w:rPr>
          <w:t>app/</w:t>
        </w:r>
      </w:hyperlink>
    </w:p>
    <w:p w:rsidR="00FF3D98" w:rsidRDefault="00E568FA">
      <w:pPr>
        <w:pStyle w:val="Heading2"/>
      </w:pPr>
      <w:r>
        <w:t>A. System architecture</w:t>
      </w:r>
    </w:p>
    <w:p w:rsidR="00FF3D98" w:rsidRDefault="00E568FA">
      <w:pPr>
        <w:spacing w:after="160"/>
        <w:jc w:val="both"/>
      </w:pPr>
      <w:r>
        <w:rPr>
          <w:rFonts w:ascii="Gungsuh" w:eastAsia="Gungsuh" w:hAnsi="Gungsuh" w:cs="Gungsuh"/>
        </w:rPr>
        <w:t xml:space="preserve">All trained tree ensembles, Random Forest for both </w:t>
      </w:r>
      <w:proofErr w:type="spellStart"/>
      <w:r>
        <w:rPr>
          <w:rFonts w:ascii="Gungsuh" w:eastAsia="Gungsuh" w:hAnsi="Gungsuh" w:cs="Gungsuh"/>
        </w:rPr>
        <w:t>EngineFaultDB</w:t>
      </w:r>
      <w:proofErr w:type="spellEnd"/>
      <w:r>
        <w:rPr>
          <w:rFonts w:ascii="Gungsuh" w:eastAsia="Gungsuh" w:hAnsi="Gungsuh" w:cs="Gungsuh"/>
        </w:rPr>
        <w:t xml:space="preserve"> stages and the Gradient Boosting model for the primary dataset, are serialized to JSON (per-node split feature, threshold, and left/right child references, plus th</w:t>
      </w:r>
      <w:r>
        <w:rPr>
          <w:rFonts w:ascii="Gungsuh" w:eastAsia="Gungsuh" w:hAnsi="Gungsuh" w:cs="Gungsuh"/>
        </w:rPr>
        <w:t>e initial log-odds and learning rate for the boosting model) and embedded directly in the page. Inference is performed entirely client-side in JavaScript by replicating the same tree-traversal logic used during training in Python/NumPy: for a feature vecto</w:t>
      </w:r>
      <w:r>
        <w:rPr>
          <w:rFonts w:ascii="Gungsuh" w:eastAsia="Gungsuh" w:hAnsi="Gungsuh" w:cs="Gungsuh"/>
        </w:rPr>
        <w:t>r x reaching node n, descend left if x[</w:t>
      </w:r>
      <w:proofErr w:type="spellStart"/>
      <w:r>
        <w:rPr>
          <w:rFonts w:ascii="Gungsuh" w:eastAsia="Gungsuh" w:hAnsi="Gungsuh" w:cs="Gungsuh"/>
        </w:rPr>
        <w:t>n.feature</w:t>
      </w:r>
      <w:proofErr w:type="spellEnd"/>
      <w:r>
        <w:rPr>
          <w:rFonts w:ascii="Gungsuh" w:eastAsia="Gungsuh" w:hAnsi="Gungsuh" w:cs="Gungsuh"/>
        </w:rPr>
        <w:t xml:space="preserve">] ≤ </w:t>
      </w:r>
      <w:proofErr w:type="spellStart"/>
      <w:r>
        <w:rPr>
          <w:rFonts w:ascii="Gungsuh" w:eastAsia="Gungsuh" w:hAnsi="Gungsuh" w:cs="Gungsuh"/>
        </w:rPr>
        <w:t>n.threshold</w:t>
      </w:r>
      <w:proofErr w:type="spellEnd"/>
      <w:r>
        <w:rPr>
          <w:rFonts w:ascii="Gungsuh" w:eastAsia="Gungsuh" w:hAnsi="Gungsuh" w:cs="Gungsuh"/>
        </w:rPr>
        <w:t>, else right, until a leaf is reached; Random Forest predictions average leaf probability vectors across all trees (Section IV-B.3), while the Gradient Boosting prediction sums each tree's leaf</w:t>
      </w:r>
      <w:r>
        <w:rPr>
          <w:rFonts w:ascii="Gungsuh" w:eastAsia="Gungsuh" w:hAnsi="Gungsuh" w:cs="Gungsuh"/>
        </w:rPr>
        <w:t xml:space="preserve"> value, scaled by the learning rate, onto a running log-odds total before applying the logistic sigmoid (Section IV-B.4). No server, database, or network call is required after the page loads, so the tool functions fully offline and imposes no ongoing host</w:t>
      </w:r>
      <w:r>
        <w:rPr>
          <w:rFonts w:ascii="Gungsuh" w:eastAsia="Gungsuh" w:hAnsi="Gungsuh" w:cs="Gungsuh"/>
        </w:rPr>
        <w:t>ing cost or latency.</w:t>
      </w:r>
    </w:p>
    <w:p w:rsidR="00FF3D98" w:rsidRDefault="00E568FA">
      <w:pPr>
        <w:pStyle w:val="Heading2"/>
      </w:pPr>
      <w:r>
        <w:t>B. Use cases</w:t>
      </w:r>
    </w:p>
    <w:p w:rsidR="00FF3D98" w:rsidRDefault="00E568FA">
      <w:pPr>
        <w:numPr>
          <w:ilvl w:val="0"/>
          <w:numId w:val="2"/>
        </w:numPr>
        <w:pBdr>
          <w:top w:val="nil"/>
          <w:left w:val="nil"/>
          <w:bottom w:val="nil"/>
          <w:right w:val="nil"/>
          <w:between w:val="nil"/>
        </w:pBdr>
        <w:spacing w:after="100"/>
      </w:pPr>
      <w:r>
        <w:rPr>
          <w:color w:val="000000"/>
        </w:rPr>
        <w:t xml:space="preserve">Roadside / independent-garage triage: a technician without access to a proprietary manufacturer scan tool enters live </w:t>
      </w:r>
      <w:proofErr w:type="spellStart"/>
      <w:r>
        <w:rPr>
          <w:color w:val="000000"/>
        </w:rPr>
        <w:t>OBD</w:t>
      </w:r>
      <w:proofErr w:type="spellEnd"/>
      <w:r>
        <w:rPr>
          <w:color w:val="000000"/>
        </w:rPr>
        <w:t xml:space="preserve"> readings and receives an immediate condition assessment and inspection checklist.</w:t>
      </w:r>
    </w:p>
    <w:p w:rsidR="00FF3D98" w:rsidRDefault="00E568FA">
      <w:pPr>
        <w:numPr>
          <w:ilvl w:val="0"/>
          <w:numId w:val="2"/>
        </w:numPr>
        <w:pBdr>
          <w:top w:val="nil"/>
          <w:left w:val="nil"/>
          <w:bottom w:val="nil"/>
          <w:right w:val="nil"/>
          <w:between w:val="nil"/>
        </w:pBdr>
        <w:spacing w:after="100"/>
      </w:pPr>
      <w:r>
        <w:rPr>
          <w:color w:val="000000"/>
        </w:rPr>
        <w:t xml:space="preserve">Vehicle owner self-check: an owner with a consumer-grade </w:t>
      </w:r>
      <w:proofErr w:type="spellStart"/>
      <w:r>
        <w:rPr>
          <w:color w:val="000000"/>
        </w:rPr>
        <w:t>OBD</w:t>
      </w:r>
      <w:proofErr w:type="spellEnd"/>
      <w:r>
        <w:rPr>
          <w:color w:val="000000"/>
        </w:rPr>
        <w:t>-II dongle can get a plain-language first read before committing to a paid workshop diagnosis.</w:t>
      </w:r>
    </w:p>
    <w:p w:rsidR="00FF3D98" w:rsidRDefault="00503206">
      <w:pPr>
        <w:numPr>
          <w:ilvl w:val="0"/>
          <w:numId w:val="2"/>
        </w:numPr>
        <w:pBdr>
          <w:top w:val="nil"/>
          <w:left w:val="nil"/>
          <w:bottom w:val="nil"/>
          <w:right w:val="nil"/>
          <w:between w:val="nil"/>
        </w:pBdr>
        <w:spacing w:after="100"/>
      </w:pPr>
      <w:r w:rsidRPr="00503206">
        <w:rPr>
          <w:color w:val="000000"/>
        </w:rPr>
        <w:t>Vehicle Fleet pre-trip inspection -Fleet maintenance can quickly sort through all the sensor data on many different vehicles and know exactly which one need closer looking at first.</w:t>
      </w:r>
    </w:p>
    <w:p w:rsidR="00FF3D98" w:rsidRDefault="00503206">
      <w:pPr>
        <w:numPr>
          <w:ilvl w:val="0"/>
          <w:numId w:val="2"/>
        </w:numPr>
        <w:pBdr>
          <w:top w:val="nil"/>
          <w:left w:val="nil"/>
          <w:bottom w:val="nil"/>
          <w:right w:val="nil"/>
          <w:between w:val="nil"/>
        </w:pBdr>
        <w:spacing w:after="100"/>
      </w:pPr>
      <w:r w:rsidRPr="00503206">
        <w:rPr>
          <w:color w:val="000000"/>
        </w:rPr>
        <w:t xml:space="preserve">Automotive training and education tool </w:t>
      </w:r>
      <w:proofErr w:type="gramStart"/>
      <w:r w:rsidRPr="00503206">
        <w:rPr>
          <w:color w:val="000000"/>
        </w:rPr>
        <w:t>The</w:t>
      </w:r>
      <w:proofErr w:type="gramEnd"/>
      <w:r w:rsidRPr="00503206">
        <w:rPr>
          <w:color w:val="000000"/>
        </w:rPr>
        <w:t xml:space="preserve"> tool's clear probability distribution and feature contribution graph lend themselves well to use in an automotive teaching and learning environment where they could help students interpret </w:t>
      </w:r>
      <w:proofErr w:type="spellStart"/>
      <w:r w:rsidRPr="00503206">
        <w:rPr>
          <w:color w:val="000000"/>
        </w:rPr>
        <w:t>OBD</w:t>
      </w:r>
      <w:proofErr w:type="spellEnd"/>
      <w:r w:rsidRPr="00503206">
        <w:rPr>
          <w:color w:val="000000"/>
        </w:rPr>
        <w:t xml:space="preserve"> sensor data.</w:t>
      </w:r>
    </w:p>
    <w:p w:rsidR="00FF3D98" w:rsidRDefault="00503206">
      <w:pPr>
        <w:numPr>
          <w:ilvl w:val="0"/>
          <w:numId w:val="2"/>
        </w:numPr>
        <w:pBdr>
          <w:top w:val="nil"/>
          <w:left w:val="nil"/>
          <w:bottom w:val="nil"/>
          <w:right w:val="nil"/>
          <w:between w:val="nil"/>
        </w:pBdr>
        <w:spacing w:after="100"/>
      </w:pPr>
      <w:r w:rsidRPr="00503206">
        <w:rPr>
          <w:color w:val="000000"/>
        </w:rPr>
        <w:t>Research reproducibility: As the entire model is run locally on the client and publicly exposed, researchers outside the project can interrogate the behaviour without the need of our entire training pipeline or the dataset itself.</w:t>
      </w:r>
    </w:p>
    <w:p w:rsidR="00FF3D98" w:rsidRDefault="00503206">
      <w:pPr>
        <w:numPr>
          <w:ilvl w:val="0"/>
          <w:numId w:val="2"/>
        </w:numPr>
        <w:pBdr>
          <w:top w:val="nil"/>
          <w:left w:val="nil"/>
          <w:bottom w:val="nil"/>
          <w:right w:val="nil"/>
          <w:between w:val="nil"/>
        </w:pBdr>
        <w:spacing w:after="100"/>
      </w:pPr>
      <w:r w:rsidRPr="00503206">
        <w:rPr>
          <w:color w:val="000000"/>
        </w:rPr>
        <w:t xml:space="preserve">Field deployment with a common </w:t>
      </w:r>
      <w:proofErr w:type="spellStart"/>
      <w:r w:rsidRPr="00503206">
        <w:rPr>
          <w:color w:val="000000"/>
        </w:rPr>
        <w:t>OBD</w:t>
      </w:r>
      <w:proofErr w:type="spellEnd"/>
      <w:r w:rsidRPr="00503206">
        <w:rPr>
          <w:color w:val="000000"/>
        </w:rPr>
        <w:t xml:space="preserve">-II scanner. Because mode 2’s six inputs derive from common </w:t>
      </w:r>
      <w:proofErr w:type="spellStart"/>
      <w:r w:rsidRPr="00503206">
        <w:rPr>
          <w:color w:val="000000"/>
        </w:rPr>
        <w:t>OBD</w:t>
      </w:r>
      <w:proofErr w:type="spellEnd"/>
      <w:r w:rsidRPr="00503206">
        <w:rPr>
          <w:color w:val="000000"/>
        </w:rPr>
        <w:t xml:space="preserve">-II/ECU parameters (see Table I in Section III-D), it is this paper’s intended use-case mode with a standard consumer scanner without external instruments, gas </w:t>
      </w:r>
      <w:proofErr w:type="spellStart"/>
      <w:r w:rsidRPr="00503206">
        <w:rPr>
          <w:color w:val="000000"/>
        </w:rPr>
        <w:t>analyzer</w:t>
      </w:r>
      <w:proofErr w:type="spellEnd"/>
      <w:r w:rsidRPr="00503206">
        <w:rPr>
          <w:color w:val="000000"/>
        </w:rPr>
        <w:t>, or dynamometer.</w:t>
      </w:r>
    </w:p>
    <w:p w:rsidR="00FF3D98" w:rsidRDefault="00E568FA">
      <w:pPr>
        <w:pStyle w:val="Heading2"/>
      </w:pPr>
      <w:r>
        <w:t>C. Interface layout</w:t>
      </w:r>
    </w:p>
    <w:p w:rsidR="00FF3D98" w:rsidRDefault="00483610">
      <w:pPr>
        <w:spacing w:after="160"/>
        <w:jc w:val="both"/>
      </w:pPr>
      <w:r w:rsidRPr="00483610">
        <w:t>A mode-selector tab pair located above the page lets a user switch between mode 1 (</w:t>
      </w:r>
      <w:proofErr w:type="spellStart"/>
      <w:r w:rsidRPr="00483610">
        <w:t>EngineFaultDB</w:t>
      </w:r>
      <w:proofErr w:type="spellEnd"/>
      <w:r w:rsidRPr="00483610">
        <w:t>, sub-fault-type) and mode 2 (the base-data-set, GOOD/BAD). Both modes have an input-panel-plus-result-panel format which is sketched out in fig. 10.</w:t>
      </w:r>
    </w:p>
    <w:p w:rsidR="00FF3D98" w:rsidRDefault="00E568FA">
      <w:pPr>
        <w:spacing w:before="160" w:after="40"/>
        <w:jc w:val="center"/>
      </w:pPr>
      <w:r>
        <w:rPr>
          <w:noProof/>
        </w:rPr>
        <w:lastRenderedPageBreak/>
        <w:drawing>
          <wp:inline distT="0" distB="0" distL="0" distR="0">
            <wp:extent cx="4381500" cy="2590800"/>
            <wp:effectExtent l="0" t="0" r="0" b="0"/>
            <wp:docPr id="10" name="image10.png" descr="Dashboard UI layout"/>
            <wp:cNvGraphicFramePr/>
            <a:graphic xmlns:a="http://schemas.openxmlformats.org/drawingml/2006/main">
              <a:graphicData uri="http://schemas.openxmlformats.org/drawingml/2006/picture">
                <pic:pic xmlns:pic="http://schemas.openxmlformats.org/drawingml/2006/picture">
                  <pic:nvPicPr>
                    <pic:cNvPr id="0" name="image10.png" descr="Dashboard UI layout"/>
                    <pic:cNvPicPr preferRelativeResize="0"/>
                  </pic:nvPicPr>
                  <pic:blipFill>
                    <a:blip r:embed="rId15"/>
                    <a:srcRect/>
                    <a:stretch>
                      <a:fillRect/>
                    </a:stretch>
                  </pic:blipFill>
                  <pic:spPr>
                    <a:xfrm>
                      <a:off x="0" y="0"/>
                      <a:ext cx="4381500" cy="2590800"/>
                    </a:xfrm>
                    <a:prstGeom prst="rect">
                      <a:avLst/>
                    </a:prstGeom>
                    <a:ln/>
                  </pic:spPr>
                </pic:pic>
              </a:graphicData>
            </a:graphic>
          </wp:inline>
        </w:drawing>
      </w:r>
    </w:p>
    <w:p w:rsidR="00FF3D98" w:rsidRDefault="00E568FA">
      <w:pPr>
        <w:spacing w:after="240"/>
        <w:jc w:val="center"/>
      </w:pPr>
      <w:r>
        <w:rPr>
          <w:i/>
          <w:iCs/>
          <w:sz w:val="20"/>
          <w:szCs w:val="20"/>
        </w:rPr>
        <w:t>Fig. 10.  Schematic layout of the deployed dashboard interface, shared by both modes.</w:t>
      </w:r>
    </w:p>
    <w:p w:rsidR="00FF3D98" w:rsidRDefault="00E568FA">
      <w:pPr>
        <w:pStyle w:val="Heading2"/>
      </w:pPr>
      <w:r>
        <w:t xml:space="preserve">D. Running a new diagnosis (Mode 1: </w:t>
      </w:r>
      <w:proofErr w:type="spellStart"/>
      <w:r>
        <w:t>EngineFaultDB</w:t>
      </w:r>
      <w:proofErr w:type="spellEnd"/>
      <w:r>
        <w:t>)</w:t>
      </w:r>
    </w:p>
    <w:p w:rsidR="00FF3D98" w:rsidRDefault="00483610">
      <w:pPr>
        <w:spacing w:after="160"/>
        <w:jc w:val="both"/>
      </w:pPr>
      <w:r w:rsidRPr="00483610">
        <w:t>A new diagnosis is entered and then run in the left-hand Input Panel (Fig. 10)</w:t>
      </w:r>
    </w:p>
    <w:p w:rsidR="00FF3D98" w:rsidRDefault="00E568FA">
      <w:pPr>
        <w:numPr>
          <w:ilvl w:val="0"/>
          <w:numId w:val="1"/>
        </w:numPr>
        <w:pBdr>
          <w:top w:val="nil"/>
          <w:left w:val="nil"/>
          <w:bottom w:val="nil"/>
          <w:right w:val="nil"/>
          <w:between w:val="nil"/>
        </w:pBdr>
        <w:spacing w:after="100"/>
      </w:pPr>
      <w:r>
        <w:rPr>
          <w:color w:val="000000"/>
        </w:rPr>
        <w:t>Select Mode 1 using the tab at the top of the page (Mode 1 is selected by default).</w:t>
      </w:r>
    </w:p>
    <w:p w:rsidR="00FF3D98" w:rsidRDefault="00483610">
      <w:pPr>
        <w:numPr>
          <w:ilvl w:val="0"/>
          <w:numId w:val="1"/>
        </w:numPr>
        <w:pBdr>
          <w:top w:val="nil"/>
          <w:left w:val="nil"/>
          <w:bottom w:val="nil"/>
          <w:right w:val="nil"/>
          <w:between w:val="nil"/>
        </w:pBdr>
        <w:spacing w:after="100"/>
      </w:pPr>
      <w:r w:rsidRPr="00483610">
        <w:rPr>
          <w:color w:val="000000"/>
        </w:rPr>
        <w:t xml:space="preserve">Enter the 14 </w:t>
      </w:r>
      <w:proofErr w:type="spellStart"/>
      <w:r w:rsidRPr="00483610">
        <w:rPr>
          <w:color w:val="000000"/>
        </w:rPr>
        <w:t>OBD</w:t>
      </w:r>
      <w:proofErr w:type="spellEnd"/>
      <w:r w:rsidRPr="00483610">
        <w:rPr>
          <w:color w:val="000000"/>
        </w:rPr>
        <w:t xml:space="preserve">/sensor readings for the vehicle under test in the labelled input fields, or click on one of the </w:t>
      </w:r>
      <w:proofErr w:type="spellStart"/>
      <w:r w:rsidRPr="00483610">
        <w:rPr>
          <w:color w:val="000000"/>
        </w:rPr>
        <w:t>preset</w:t>
      </w:r>
      <w:proofErr w:type="spellEnd"/>
      <w:r w:rsidRPr="00483610">
        <w:rPr>
          <w:color w:val="000000"/>
        </w:rPr>
        <w:t xml:space="preserve"> buttons to load example readings: (Normal, Rich mixture, Lean mixture, Low voltage)</w:t>
      </w:r>
    </w:p>
    <w:p w:rsidR="00FF3D98" w:rsidRDefault="00483610">
      <w:pPr>
        <w:numPr>
          <w:ilvl w:val="0"/>
          <w:numId w:val="1"/>
        </w:numPr>
        <w:pBdr>
          <w:top w:val="nil"/>
          <w:left w:val="nil"/>
          <w:bottom w:val="nil"/>
          <w:right w:val="nil"/>
          <w:between w:val="nil"/>
        </w:pBdr>
        <w:spacing w:after="100"/>
      </w:pPr>
      <w:r w:rsidRPr="00483610">
        <w:rPr>
          <w:color w:val="000000"/>
        </w:rPr>
        <w:t>Click “Run Diagnosis”. The stage-1 model takes the readings and gives a Normal / Faulty result with confidence score as a coloured pill (Green means Normal and Red means Faulty).</w:t>
      </w:r>
    </w:p>
    <w:p w:rsidR="00FF3D98" w:rsidRDefault="00483610">
      <w:pPr>
        <w:numPr>
          <w:ilvl w:val="0"/>
          <w:numId w:val="1"/>
        </w:numPr>
        <w:pBdr>
          <w:top w:val="nil"/>
          <w:left w:val="nil"/>
          <w:bottom w:val="nil"/>
          <w:right w:val="nil"/>
          <w:between w:val="nil"/>
        </w:pBdr>
        <w:spacing w:after="100"/>
      </w:pPr>
      <w:r w:rsidRPr="00483610">
        <w:rPr>
          <w:color w:val="000000"/>
        </w:rPr>
        <w:t>If the decision is faulty the Stage-2 model is invoked and displays a probability rank bar showing probability for the 3 different types of faults.</w:t>
      </w:r>
    </w:p>
    <w:p w:rsidR="00FF3D98" w:rsidRDefault="00483610">
      <w:pPr>
        <w:numPr>
          <w:ilvl w:val="0"/>
          <w:numId w:val="1"/>
        </w:numPr>
        <w:pBdr>
          <w:top w:val="nil"/>
          <w:left w:val="nil"/>
          <w:bottom w:val="nil"/>
          <w:right w:val="nil"/>
          <w:between w:val="nil"/>
        </w:pBdr>
        <w:spacing w:after="100"/>
      </w:pPr>
      <w:r w:rsidRPr="00483610">
        <w:rPr>
          <w:color w:val="000000"/>
        </w:rPr>
        <w:t>Also showing are the readings of the top sensor, features that pushed the prediction farthest from normal, weighted by their model learned importance, and a brief, fault specific list of things to check, from Table IX.</w:t>
      </w:r>
    </w:p>
    <w:p w:rsidR="00FF3D98" w:rsidRDefault="00483610">
      <w:pPr>
        <w:numPr>
          <w:ilvl w:val="0"/>
          <w:numId w:val="1"/>
        </w:numPr>
        <w:pBdr>
          <w:top w:val="nil"/>
          <w:left w:val="nil"/>
          <w:bottom w:val="nil"/>
          <w:right w:val="nil"/>
          <w:between w:val="nil"/>
        </w:pBdr>
        <w:spacing w:after="100"/>
      </w:pPr>
      <w:r w:rsidRPr="00483610">
        <w:rPr>
          <w:color w:val="000000"/>
        </w:rPr>
        <w:t>If top two fault probabilities were similar (within 15 points), we highlight both on interface rather than confidently selecting a single fault. This maps onto Section V-E.</w:t>
      </w:r>
    </w:p>
    <w:p w:rsidR="00FF3D98" w:rsidRDefault="00E568FA">
      <w:pPr>
        <w:pStyle w:val="Heading2"/>
      </w:pPr>
      <w:r>
        <w:t>E. Recommended checks by fault type</w:t>
      </w:r>
    </w:p>
    <w:p w:rsidR="00FF3D98" w:rsidRDefault="00E568FA">
      <w:pPr>
        <w:spacing w:after="240"/>
        <w:jc w:val="center"/>
      </w:pPr>
      <w:r>
        <w:rPr>
          <w:i/>
          <w:iCs/>
          <w:sz w:val="20"/>
          <w:szCs w:val="20"/>
        </w:rPr>
        <w:t>TABLE IX.  Fault type to recommended-check mapping shown in the dashboard</w:t>
      </w:r>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0"/>
        <w:gridCol w:w="6760"/>
      </w:tblGrid>
      <w:tr w:rsidR="00FF3D98">
        <w:trPr>
          <w:tblHeader/>
        </w:trPr>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Predicted fault</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 xml:space="preserve">Suggested engineer </w:t>
            </w:r>
            <w:r>
              <w:rPr>
                <w:b/>
                <w:bCs/>
                <w:color w:val="000000"/>
              </w:rPr>
              <w:t>action</w:t>
            </w:r>
          </w:p>
        </w:tc>
      </w:tr>
      <w:tr w:rsidR="00FF3D98">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Rich air-fuel mixture</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Check fuel injectors for leakage/over-delivery, inspect the O2 sensor and fuel pressure regulator, verify </w:t>
            </w:r>
            <w:proofErr w:type="spellStart"/>
            <w:r>
              <w:t>MAF</w:t>
            </w:r>
            <w:proofErr w:type="spellEnd"/>
            <w:r>
              <w:t>/MAP sensor calibration.</w:t>
            </w:r>
          </w:p>
        </w:tc>
      </w:tr>
      <w:tr w:rsidR="00FF3D98">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Lean air-fuel mixture</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Check for vacuum/intake leaks, inspect fuel delivery (pump pressure, clogged injectors/filter), verify O2 sensor response.</w:t>
            </w:r>
          </w:p>
        </w:tc>
      </w:tr>
      <w:tr w:rsidR="00FF3D98">
        <w:tc>
          <w:tcPr>
            <w:tcW w:w="26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Low ignition voltage</w:t>
            </w:r>
          </w:p>
        </w:tc>
        <w:tc>
          <w:tcPr>
            <w:tcW w:w="67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Inspect ignition coil(s), spark plugs and gaps, battery/alternator charging voltage, and ignition wiring/connec</w:t>
            </w:r>
            <w:r>
              <w:t>tors.</w:t>
            </w:r>
          </w:p>
        </w:tc>
      </w:tr>
    </w:tbl>
    <w:p w:rsidR="00FF3D98" w:rsidRDefault="00E568FA">
      <w:pPr>
        <w:pStyle w:val="Heading2"/>
      </w:pPr>
      <w:r>
        <w:lastRenderedPageBreak/>
        <w:t>F. Second diagnostic mode: primary dataset (Good/Bad, Gradient Boosting)</w:t>
      </w:r>
    </w:p>
    <w:p w:rsidR="00FF3D98" w:rsidRDefault="00E568FA">
      <w:pPr>
        <w:spacing w:after="160"/>
        <w:jc w:val="both"/>
      </w:pPr>
      <w:r>
        <w:t>Mode 2 exposes the primary dataset's Gradient Boosting model (Section IV-B.4) using the same Input Panel / Result Panel layout as Mode 1:</w:t>
      </w:r>
    </w:p>
    <w:p w:rsidR="00FF3D98" w:rsidRDefault="00E568FA">
      <w:pPr>
        <w:numPr>
          <w:ilvl w:val="0"/>
          <w:numId w:val="1"/>
        </w:numPr>
        <w:pBdr>
          <w:top w:val="nil"/>
          <w:left w:val="nil"/>
          <w:bottom w:val="nil"/>
          <w:right w:val="nil"/>
          <w:between w:val="nil"/>
        </w:pBdr>
        <w:spacing w:after="100"/>
      </w:pPr>
      <w:r>
        <w:rPr>
          <w:color w:val="000000"/>
        </w:rPr>
        <w:t>Select Mode 2 using the tab at the top of the page.</w:t>
      </w:r>
    </w:p>
    <w:p w:rsidR="00FF3D98" w:rsidRDefault="00E568FA">
      <w:pPr>
        <w:numPr>
          <w:ilvl w:val="0"/>
          <w:numId w:val="1"/>
        </w:numPr>
        <w:pBdr>
          <w:top w:val="nil"/>
          <w:left w:val="nil"/>
          <w:bottom w:val="nil"/>
          <w:right w:val="nil"/>
          <w:between w:val="nil"/>
        </w:pBdr>
        <w:spacing w:after="100"/>
      </w:pPr>
      <w:r>
        <w:rPr>
          <w:color w:val="000000"/>
        </w:rPr>
        <w:t xml:space="preserve">Enter the six </w:t>
      </w:r>
      <w:proofErr w:type="spellStart"/>
      <w:r>
        <w:rPr>
          <w:color w:val="000000"/>
        </w:rPr>
        <w:t>OBD</w:t>
      </w:r>
      <w:proofErr w:type="spellEnd"/>
      <w:r>
        <w:rPr>
          <w:color w:val="000000"/>
        </w:rPr>
        <w:t xml:space="preserve">/ECU readings (Table I) in the labelled input fields, each annotated with its </w:t>
      </w:r>
      <w:proofErr w:type="spellStart"/>
      <w:r>
        <w:rPr>
          <w:color w:val="000000"/>
        </w:rPr>
        <w:t>OBD</w:t>
      </w:r>
      <w:proofErr w:type="spellEnd"/>
      <w:r>
        <w:rPr>
          <w:color w:val="000000"/>
        </w:rPr>
        <w:t xml:space="preserve">-II </w:t>
      </w:r>
      <w:proofErr w:type="spellStart"/>
      <w:r>
        <w:rPr>
          <w:color w:val="000000"/>
        </w:rPr>
        <w:t>PID</w:t>
      </w:r>
      <w:proofErr w:type="spellEnd"/>
      <w:r>
        <w:rPr>
          <w:color w:val="000000"/>
        </w:rPr>
        <w:t xml:space="preserve"> or availability note (Section III-D), or click one of the </w:t>
      </w:r>
      <w:proofErr w:type="spellStart"/>
      <w:r>
        <w:rPr>
          <w:color w:val="000000"/>
        </w:rPr>
        <w:t>preset</w:t>
      </w:r>
      <w:proofErr w:type="spellEnd"/>
      <w:r>
        <w:rPr>
          <w:color w:val="000000"/>
        </w:rPr>
        <w:t xml:space="preserve"> example buttons (Healthy engine, Faulty engine) to load a representative sample readi</w:t>
      </w:r>
      <w:r>
        <w:rPr>
          <w:color w:val="000000"/>
        </w:rPr>
        <w:t>ng.</w:t>
      </w:r>
    </w:p>
    <w:p w:rsidR="00FF3D98" w:rsidRDefault="00E568FA">
      <w:pPr>
        <w:numPr>
          <w:ilvl w:val="0"/>
          <w:numId w:val="1"/>
        </w:numPr>
        <w:pBdr>
          <w:top w:val="nil"/>
          <w:left w:val="nil"/>
          <w:bottom w:val="nil"/>
          <w:right w:val="nil"/>
          <w:between w:val="nil"/>
        </w:pBdr>
        <w:spacing w:after="100"/>
      </w:pPr>
      <w:r>
        <w:rPr>
          <w:color w:val="000000"/>
        </w:rPr>
        <w:t xml:space="preserve">Click “Run Diagnosis.” The model computes </w:t>
      </w:r>
      <w:proofErr w:type="gramStart"/>
      <w:r>
        <w:rPr>
          <w:color w:val="000000"/>
        </w:rPr>
        <w:t>P̂(</w:t>
      </w:r>
      <w:proofErr w:type="gramEnd"/>
      <w:r>
        <w:rPr>
          <w:color w:val="000000"/>
        </w:rPr>
        <w:t>GOOD | x) by summing the learning-rate-scaled output of all 150 boosted trees onto the initial log-odds and applying the logistic sigmoid (Section IV-B.4), then classifies the reading as GOOD only if this pr</w:t>
      </w:r>
      <w:r>
        <w:rPr>
          <w:color w:val="000000"/>
        </w:rPr>
        <w:t>obability meets the validation-tuned threshold of 0.59, otherwise as Faulty.</w:t>
      </w:r>
    </w:p>
    <w:p w:rsidR="00FF3D98" w:rsidRDefault="00E568FA">
      <w:pPr>
        <w:numPr>
          <w:ilvl w:val="0"/>
          <w:numId w:val="1"/>
        </w:numPr>
        <w:pBdr>
          <w:top w:val="nil"/>
          <w:left w:val="nil"/>
          <w:bottom w:val="nil"/>
          <w:right w:val="nil"/>
          <w:between w:val="nil"/>
        </w:pBdr>
        <w:spacing w:after="100"/>
      </w:pPr>
      <w:r>
        <w:rPr>
          <w:color w:val="000000"/>
        </w:rPr>
        <w:t>As in Mode 1, the panel displays the top contributing readings (largest deviation from the healthy-class mean, weighted by split-frequency importance) and, when a fault is detecte</w:t>
      </w:r>
      <w:r>
        <w:rPr>
          <w:color w:val="000000"/>
        </w:rPr>
        <w:t>d, a short checklist of recommended checks for the two most contributing readings (Table X).</w:t>
      </w:r>
    </w:p>
    <w:p w:rsidR="00FF3D98" w:rsidRDefault="00E568FA">
      <w:pPr>
        <w:numPr>
          <w:ilvl w:val="0"/>
          <w:numId w:val="1"/>
        </w:numPr>
        <w:pBdr>
          <w:top w:val="nil"/>
          <w:left w:val="nil"/>
          <w:bottom w:val="nil"/>
          <w:right w:val="nil"/>
          <w:between w:val="nil"/>
        </w:pBdr>
        <w:spacing w:after="100"/>
      </w:pPr>
      <w:r w:rsidRPr="00E568FA">
        <w:rPr>
          <w:color w:val="000000"/>
        </w:rPr>
        <w:t>Since Mode 2 has lower macro-F1 score (0.632) and lower BAD-class recall (63.8%) compared to Mode 1’s perfect Stage-1 accuracy, the UI has been designed to clearly display the confidence level and warn that a Faulty label simply means that further investigation is warranted.</w:t>
      </w:r>
    </w:p>
    <w:p w:rsidR="00FF3D98" w:rsidRDefault="00E568FA">
      <w:pPr>
        <w:spacing w:after="240"/>
        <w:jc w:val="center"/>
      </w:pPr>
      <w:r>
        <w:rPr>
          <w:i/>
          <w:iCs/>
          <w:sz w:val="20"/>
          <w:szCs w:val="20"/>
        </w:rPr>
        <w:t>TABLE X.  Feature to recommended-check mapping shown in Mode 2 of the dashboard</w:t>
      </w:r>
    </w:p>
    <w:tbl>
      <w:tblPr>
        <w:tblStyle w:val="a8"/>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7160"/>
      </w:tblGrid>
      <w:tr w:rsidR="00FF3D98">
        <w:trPr>
          <w:tblHeader/>
        </w:trPr>
        <w:tc>
          <w:tcPr>
            <w:tcW w:w="2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Contributing reading</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rPr>
                <w:b/>
                <w:bCs/>
                <w:color w:val="000000"/>
              </w:rPr>
              <w:t>Suggested engineer action</w:t>
            </w:r>
          </w:p>
        </w:tc>
      </w:tr>
      <w:tr w:rsidR="00FF3D98">
        <w:tc>
          <w:tcPr>
            <w:tcW w:w="2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Engine rpm</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 xml:space="preserve">Check the idle air control (IAC) valve and throttle body for carbon </w:t>
            </w:r>
            <w:proofErr w:type="spellStart"/>
            <w:r>
              <w:t>buildup</w:t>
            </w:r>
            <w:proofErr w:type="spellEnd"/>
            <w:r>
              <w:t>; inspect for vacuum leaks causing unstable idle; abnormally high sustained RPM can indicate a throttle linkage or governor fault.</w:t>
            </w:r>
          </w:p>
        </w:tc>
      </w:tr>
      <w:tr w:rsidR="00FF3D98">
        <w:tc>
          <w:tcPr>
            <w:tcW w:w="2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Fuel pressure</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Inspect fuel pump output pressure, the fuel pressure regulator, and the fuel filter for clogging.</w:t>
            </w:r>
          </w:p>
        </w:tc>
      </w:tr>
      <w:tr w:rsidR="00FF3D98">
        <w:tc>
          <w:tcPr>
            <w:tcW w:w="2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Lub</w:t>
            </w:r>
            <w:proofErr w:type="spellEnd"/>
            <w:r>
              <w:t xml:space="preserve"> oil pressure</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Check oil level and viscosity, oil pump condition, and the pressure relief valve; low oil pressure combined with high oil temperature is a s</w:t>
            </w:r>
            <w:r>
              <w:t>trong indicator of lubrication-system failure.</w:t>
            </w:r>
          </w:p>
        </w:tc>
      </w:tr>
      <w:tr w:rsidR="00FF3D98">
        <w:tc>
          <w:tcPr>
            <w:tcW w:w="2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proofErr w:type="spellStart"/>
            <w:r>
              <w:t>lub</w:t>
            </w:r>
            <w:proofErr w:type="spellEnd"/>
            <w:r>
              <w:t xml:space="preserve"> oil temp</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Inspect the oil cooler, oil level, and lubrication circuit for restrictions.</w:t>
            </w:r>
          </w:p>
        </w:tc>
      </w:tr>
      <w:tr w:rsidR="00FF3D98">
        <w:tc>
          <w:tcPr>
            <w:tcW w:w="2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Coolant temp</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Check coolant level, radiator and thermostat operation, water pump, and cooling fan.</w:t>
            </w:r>
          </w:p>
        </w:tc>
      </w:tr>
      <w:tr w:rsidR="00FF3D98">
        <w:tc>
          <w:tcPr>
            <w:tcW w:w="22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Coolant pressure</w:t>
            </w:r>
          </w:p>
        </w:tc>
        <w:tc>
          <w:tcPr>
            <w:tcW w:w="71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FF3D98" w:rsidRDefault="00E568FA">
            <w:r>
              <w:t>I</w:t>
            </w:r>
            <w:r>
              <w:t>nspect the radiator cap and cooling system for leaks, and check head gasket integrity.</w:t>
            </w:r>
          </w:p>
        </w:tc>
      </w:tr>
    </w:tbl>
    <w:p w:rsidR="00FF3D98" w:rsidRDefault="00E568FA">
      <w:pPr>
        <w:pStyle w:val="Heading1"/>
      </w:pPr>
      <w:r>
        <w:t>VII. Discussion</w:t>
      </w:r>
    </w:p>
    <w:p w:rsidR="00E568FA" w:rsidRPr="00E568FA" w:rsidRDefault="00E568FA" w:rsidP="00E568FA">
      <w:pPr>
        <w:spacing w:after="160"/>
        <w:jc w:val="both"/>
        <w:rPr>
          <w:rFonts w:ascii="Gungsuh" w:eastAsia="Gungsuh" w:hAnsi="Gungsuh" w:cs="Gungsuh"/>
        </w:rPr>
      </w:pPr>
      <w:r>
        <w:rPr>
          <w:rFonts w:ascii="Gungsuh" w:eastAsia="Gungsuh" w:hAnsi="Gungsuh" w:cs="Gungsuh"/>
        </w:rPr>
        <w:t xml:space="preserve">The results support five claims relevant to this paper's contribution. First, on </w:t>
      </w:r>
      <w:proofErr w:type="spellStart"/>
      <w:r>
        <w:rPr>
          <w:rFonts w:ascii="Gungsuh" w:eastAsia="Gungsuh" w:hAnsi="Gungsuh" w:cs="Gungsuh"/>
        </w:rPr>
        <w:t>EngineFaultDB</w:t>
      </w:r>
      <w:proofErr w:type="spellEnd"/>
      <w:r>
        <w:rPr>
          <w:rFonts w:ascii="Gungsuh" w:eastAsia="Gungsuh" w:hAnsi="Gungsuh" w:cs="Gungsuh"/>
        </w:rPr>
        <w:t>, upgrading from a single decision tree to a Random Forest</w:t>
      </w:r>
      <w:r>
        <w:rPr>
          <w:rFonts w:ascii="Gungsuh" w:eastAsia="Gungsuh" w:hAnsi="Gungsuh" w:cs="Gungsuh"/>
        </w:rPr>
        <w:t xml:space="preserve"> yields a measurable, if modest, macro-F1 gain (0.740 to 0.752) while achieving perfect binary detection, at negligible additional computational or interpretability cost, a favourable trade-off for a deployed tool, consistent </w:t>
      </w:r>
      <w:r>
        <w:rPr>
          <w:rFonts w:ascii="Gungsuh" w:eastAsia="Gungsuh" w:hAnsi="Gungsuh" w:cs="Gungsuh"/>
        </w:rPr>
        <w:lastRenderedPageBreak/>
        <w:t>with the broader literature on</w:t>
      </w:r>
      <w:r>
        <w:rPr>
          <w:rFonts w:ascii="Gungsuh" w:eastAsia="Gungsuh" w:hAnsi="Gungsuh" w:cs="Gungsuh"/>
        </w:rPr>
        <w:t xml:space="preserve"> ensemble methods for vehicle fault diagnosis [4], [5], [10]. Second, reframing the task as two stages surfaces a finding a single flat classifier would have hidden: the difficulty in this domain is concentrated entirely in distinguishing specific fault su</w:t>
      </w:r>
      <w:r>
        <w:rPr>
          <w:rFonts w:ascii="Gungsuh" w:eastAsia="Gungsuh" w:hAnsi="Gungsuh" w:cs="Gungsuh"/>
        </w:rPr>
        <w:t xml:space="preserve">btypes with overlapping steady-state signatures, not in detecting that a fault exists at all; the ROC-AUC gap between Rich-mixture (≈ 1.00) and Lean/Low-voltage classes (Fig. 4) makes this quantitatively explicit. </w:t>
      </w:r>
      <w:r w:rsidRPr="00E568FA">
        <w:rPr>
          <w:rFonts w:ascii="Gungsuh" w:eastAsia="Gungsuh" w:hAnsi="Gungsuh" w:cs="Gungsuh"/>
        </w:rPr>
        <w:t xml:space="preserve">Third, on the primary data, the comparison between the standard and class-balanced Random Forest (Table VIII) illustrates that raw accuracy may be a misleading measure of fault detection accuracy in particular: the standard model has the same accuracy as the original thesis, and without a conscious change to the sampling process, it also captures the majority class bias; the class balanced model has a recall of nearly double for the class of interest in the real world (BAD engines), but at a cost in accuracy that a practitioner would likely be willing to pay given the imbalance in the cost of a false fault. Fourth, a validation-tuned Gradient Boosting Classifier further outdoes this trade off, achieving the highest macro-F1 score (0.632) of any tested model in the primary dataset, and balancing BAD- and GOOD-class recall closely without any choice of threshold affecting the test set, thereby directly mitigating the accuracy limitation suggested in an earlier version of this work. In fifth place, packaging both models as a two-mode, zero-install browser tool shows that ensemble and boosted tree models—unlike deep neural networks—can be deployed to end users without the infrastructure of a back-end, which is important for independent technicians and small repair shops without the IT support they normally require, and the </w:t>
      </w:r>
      <w:proofErr w:type="spellStart"/>
      <w:r w:rsidRPr="00E568FA">
        <w:rPr>
          <w:rFonts w:ascii="Gungsuh" w:eastAsia="Gungsuh" w:hAnsi="Gungsuh" w:cs="Gungsuh"/>
        </w:rPr>
        <w:t>OBD</w:t>
      </w:r>
      <w:proofErr w:type="spellEnd"/>
      <w:r w:rsidRPr="00E568FA">
        <w:rPr>
          <w:rFonts w:ascii="Gungsuh" w:eastAsia="Gungsuh" w:hAnsi="Gungsuh" w:cs="Gungsuh"/>
        </w:rPr>
        <w:t xml:space="preserve">-II </w:t>
      </w:r>
      <w:proofErr w:type="spellStart"/>
      <w:r w:rsidRPr="00E568FA">
        <w:rPr>
          <w:rFonts w:ascii="Gungsuh" w:eastAsia="Gungsuh" w:hAnsi="Gungsuh" w:cs="Gungsuh"/>
        </w:rPr>
        <w:t>PID</w:t>
      </w:r>
      <w:proofErr w:type="spellEnd"/>
      <w:r w:rsidRPr="00E568FA">
        <w:rPr>
          <w:rFonts w:ascii="Gungsuh" w:eastAsia="Gungsuh" w:hAnsi="Gungsuh" w:cs="Gungsuh"/>
        </w:rPr>
        <w:t xml:space="preserve"> mapping in Section III-D allows a user to select the model to match the resources that are actually available.</w:t>
      </w:r>
    </w:p>
    <w:p w:rsidR="00FF3D98" w:rsidRDefault="00E568FA" w:rsidP="00E568FA">
      <w:pPr>
        <w:spacing w:after="160"/>
        <w:jc w:val="both"/>
      </w:pPr>
      <w:r w:rsidRPr="00E568FA">
        <w:rPr>
          <w:rFonts w:ascii="Gungsuh" w:eastAsia="Gungsuh" w:hAnsi="Gungsuh" w:cs="Gungsuh"/>
        </w:rPr>
        <w:t xml:space="preserve">Comparing the two data sets also helps to understand what each set contributes, while the availability analysis in Section III-D is explicit, rather than implicit, about the trade-off. Nine of the 14 variables collected by the sensor suite exhaust gas composition does not require a generic </w:t>
      </w:r>
      <w:proofErr w:type="spellStart"/>
      <w:r w:rsidRPr="00E568FA">
        <w:rPr>
          <w:rFonts w:ascii="Gungsuh" w:eastAsia="Gungsuh" w:hAnsi="Gungsuh" w:cs="Gungsuh"/>
        </w:rPr>
        <w:t>OBD</w:t>
      </w:r>
      <w:proofErr w:type="spellEnd"/>
      <w:r w:rsidRPr="00E568FA">
        <w:rPr>
          <w:rFonts w:ascii="Gungsuh" w:eastAsia="Gungsuh" w:hAnsi="Gungsuh" w:cs="Gungsuh"/>
        </w:rPr>
        <w:t xml:space="preserve">-II scanner in the field to retrieve, but is required for Mode 1 of the dashboard to perform fine-grained root cause identification (Section VI-D) for </w:t>
      </w:r>
      <w:proofErr w:type="spellStart"/>
      <w:r w:rsidRPr="00E568FA">
        <w:rPr>
          <w:rFonts w:ascii="Gungsuh" w:eastAsia="Gungsuh" w:hAnsi="Gungsuh" w:cs="Gungsuh"/>
        </w:rPr>
        <w:t>EngineFaultDB</w:t>
      </w:r>
      <w:proofErr w:type="spellEnd"/>
      <w:r w:rsidRPr="00E568FA">
        <w:rPr>
          <w:rFonts w:ascii="Gungsuh" w:eastAsia="Gungsuh" w:hAnsi="Gungsuh" w:cs="Gungsuh"/>
        </w:rPr>
        <w:t xml:space="preserve">. The primary dataset [9], [12] has six inputs, which correspond to standard or commonly available </w:t>
      </w:r>
      <w:proofErr w:type="spellStart"/>
      <w:r w:rsidRPr="00E568FA">
        <w:rPr>
          <w:rFonts w:ascii="Gungsuh" w:eastAsia="Gungsuh" w:hAnsi="Gungsuh" w:cs="Gungsuh"/>
        </w:rPr>
        <w:t>OBD</w:t>
      </w:r>
      <w:proofErr w:type="spellEnd"/>
      <w:r w:rsidRPr="00E568FA">
        <w:rPr>
          <w:rFonts w:ascii="Gungsuh" w:eastAsia="Gungsuh" w:hAnsi="Gungsuh" w:cs="Gungsuh"/>
        </w:rPr>
        <w:t>-II/ECU parameters (Table I), and only the coarser GOOD/BAD distinction the original thesis targeted is applicable, the mode adopted in the dashboard (Section VI-F), but it is the one this paper recommends for field use with a generic scanner. The two are not combined into a single model in this paper (Section VIII) just because they answer different complementary questions under different equipment constraints.</w:t>
      </w:r>
    </w:p>
    <w:p w:rsidR="00FF3D98" w:rsidRDefault="00E568FA">
      <w:pPr>
        <w:pStyle w:val="Heading1"/>
      </w:pPr>
      <w:r>
        <w:t>V</w:t>
      </w:r>
      <w:r>
        <w:t>III. Limitations and Future Work</w:t>
      </w:r>
    </w:p>
    <w:p w:rsidR="00FF3D98" w:rsidRDefault="00E568FA">
      <w:pPr>
        <w:numPr>
          <w:ilvl w:val="0"/>
          <w:numId w:val="1"/>
        </w:numPr>
        <w:pBdr>
          <w:top w:val="nil"/>
          <w:left w:val="nil"/>
          <w:bottom w:val="nil"/>
          <w:right w:val="nil"/>
          <w:between w:val="nil"/>
        </w:pBdr>
        <w:spacing w:after="100"/>
      </w:pPr>
      <w:r w:rsidRPr="00E568FA">
        <w:rPr>
          <w:color w:val="000000"/>
        </w:rPr>
        <w:t xml:space="preserve">Since the two datasets leverage distinct feature sets (six versus 14 variables) and varying levels of label specificity (two-class versus four-class), the two datasets have not been integrated to train one </w:t>
      </w:r>
      <w:r w:rsidRPr="00E568FA">
        <w:rPr>
          <w:color w:val="000000"/>
        </w:rPr>
        <w:lastRenderedPageBreak/>
        <w:t xml:space="preserve">shared, general-purpose model. Possible extensions include a shared-feature model jointly trained on both (leveraging the </w:t>
      </w:r>
      <w:proofErr w:type="spellStart"/>
      <w:r w:rsidRPr="00E568FA">
        <w:rPr>
          <w:color w:val="000000"/>
        </w:rPr>
        <w:t>OBD</w:t>
      </w:r>
      <w:proofErr w:type="spellEnd"/>
      <w:r w:rsidRPr="00E568FA">
        <w:rPr>
          <w:color w:val="000000"/>
        </w:rPr>
        <w:t xml:space="preserve">-II-compliant feature subset proposed in Section III-D) or a transfer-learning strategy which leverage the fault subtype labels from the </w:t>
      </w:r>
      <w:proofErr w:type="spellStart"/>
      <w:r w:rsidRPr="00E568FA">
        <w:rPr>
          <w:color w:val="000000"/>
        </w:rPr>
        <w:t>EngineFaultDB</w:t>
      </w:r>
      <w:proofErr w:type="spellEnd"/>
      <w:r w:rsidRPr="00E568FA">
        <w:rPr>
          <w:color w:val="000000"/>
        </w:rPr>
        <w:t xml:space="preserve"> dataset to boost performance for the coarser BAD label of the primary dataset.</w:t>
      </w:r>
    </w:p>
    <w:p w:rsidR="00FF3D98" w:rsidRDefault="00E568FA">
      <w:pPr>
        <w:numPr>
          <w:ilvl w:val="0"/>
          <w:numId w:val="1"/>
        </w:numPr>
        <w:pBdr>
          <w:top w:val="nil"/>
          <w:left w:val="nil"/>
          <w:bottom w:val="nil"/>
          <w:right w:val="nil"/>
          <w:between w:val="nil"/>
        </w:pBdr>
        <w:spacing w:after="100"/>
      </w:pPr>
      <w:r w:rsidRPr="00E568FA">
        <w:rPr>
          <w:color w:val="000000"/>
        </w:rPr>
        <w:t>Our fault-subtype accuracy of 64.8% for the stage-2 (</w:t>
      </w:r>
      <w:proofErr w:type="spellStart"/>
      <w:r w:rsidRPr="00E568FA">
        <w:rPr>
          <w:color w:val="000000"/>
        </w:rPr>
        <w:t>EngineFaultDB</w:t>
      </w:r>
      <w:proofErr w:type="spellEnd"/>
      <w:r w:rsidRPr="00E568FA">
        <w:rPr>
          <w:color w:val="000000"/>
        </w:rPr>
        <w:t xml:space="preserve">) is definitely an area where there is room for improvement. Our proposed path forward would probably be to engineering time/derivative based features based on the repeated polling of </w:t>
      </w:r>
      <w:proofErr w:type="spellStart"/>
      <w:r w:rsidRPr="00E568FA">
        <w:rPr>
          <w:color w:val="000000"/>
        </w:rPr>
        <w:t>OBD</w:t>
      </w:r>
      <w:proofErr w:type="spellEnd"/>
      <w:r w:rsidRPr="00E568FA">
        <w:rPr>
          <w:color w:val="000000"/>
        </w:rPr>
        <w:t xml:space="preserve"> sensors, introducing a third sensor channel in order to differentiate between lean mixture faults and low-voltage faults or sampling a greater number of diverse fault-subtypes.</w:t>
      </w:r>
    </w:p>
    <w:p w:rsidR="00FF3D98" w:rsidRDefault="00E568FA">
      <w:pPr>
        <w:numPr>
          <w:ilvl w:val="0"/>
          <w:numId w:val="1"/>
        </w:numPr>
        <w:pBdr>
          <w:top w:val="nil"/>
          <w:left w:val="nil"/>
          <w:bottom w:val="nil"/>
          <w:right w:val="nil"/>
          <w:between w:val="nil"/>
        </w:pBdr>
        <w:spacing w:after="100"/>
      </w:pPr>
      <w:r w:rsidRPr="00E568FA">
        <w:rPr>
          <w:color w:val="000000"/>
        </w:rPr>
        <w:t xml:space="preserve">Gradient boosting (Section V-G) closes some-but not all-of the primary-dataset accuracy deficit: BAD-class precision stays low at just 0.51 (that is, some 50% of values flagged as bad would, if individually checked, actually be healthy). Additional improvements will almost certainly depend on engineering more features than the six we used, higher-frequency polling of the </w:t>
      </w:r>
      <w:proofErr w:type="spellStart"/>
      <w:r w:rsidRPr="00E568FA">
        <w:rPr>
          <w:color w:val="000000"/>
        </w:rPr>
        <w:t>OBD</w:t>
      </w:r>
      <w:proofErr w:type="spellEnd"/>
      <w:r w:rsidRPr="00E568FA">
        <w:rPr>
          <w:color w:val="000000"/>
        </w:rPr>
        <w:t xml:space="preserve"> data (to catch events that don’t necessarily correlate with instant values), or adjusting the predictive threshold dynamically for the false alarm rate tolerance of a given operational deployment, as opposed to the fixed value used here based on the validation data.</w:t>
      </w:r>
      <w:bookmarkStart w:id="0" w:name="_GoBack"/>
      <w:bookmarkEnd w:id="0"/>
    </w:p>
    <w:p w:rsidR="00FF3D98" w:rsidRDefault="00E568FA">
      <w:pPr>
        <w:numPr>
          <w:ilvl w:val="0"/>
          <w:numId w:val="1"/>
        </w:numPr>
        <w:pBdr>
          <w:top w:val="nil"/>
          <w:left w:val="nil"/>
          <w:bottom w:val="nil"/>
          <w:right w:val="nil"/>
          <w:between w:val="nil"/>
        </w:pBdr>
        <w:spacing w:after="100"/>
      </w:pPr>
      <w:r>
        <w:rPr>
          <w:color w:val="000000"/>
        </w:rPr>
        <w:t xml:space="preserve">Nine of </w:t>
      </w:r>
      <w:proofErr w:type="spellStart"/>
      <w:r>
        <w:rPr>
          <w:color w:val="000000"/>
        </w:rPr>
        <w:t>EngineFaultDB's</w:t>
      </w:r>
      <w:proofErr w:type="spellEnd"/>
      <w:r>
        <w:rPr>
          <w:color w:val="000000"/>
        </w:rPr>
        <w:t xml:space="preserve"> fourteen inputs, including all four exhaust-gas-composition variables, are not obtainable from a standard consumer-grade </w:t>
      </w:r>
      <w:proofErr w:type="spellStart"/>
      <w:r>
        <w:rPr>
          <w:color w:val="000000"/>
        </w:rPr>
        <w:t>OBD</w:t>
      </w:r>
      <w:proofErr w:type="spellEnd"/>
      <w:r>
        <w:rPr>
          <w:color w:val="000000"/>
        </w:rPr>
        <w:t xml:space="preserve">-II scanner (Section III-D); Mode </w:t>
      </w:r>
      <w:r>
        <w:rPr>
          <w:color w:val="000000"/>
        </w:rPr>
        <w:t>1 of the dashboard is consequently best suited to a workshop or laboratory setting with gas-</w:t>
      </w:r>
      <w:proofErr w:type="spellStart"/>
      <w:r>
        <w:rPr>
          <w:color w:val="000000"/>
        </w:rPr>
        <w:t>analyzer</w:t>
      </w:r>
      <w:proofErr w:type="spellEnd"/>
      <w:r>
        <w:rPr>
          <w:color w:val="000000"/>
        </w:rPr>
        <w:t xml:space="preserve"> equipment, and a fault-subtype model that uses only field-realistic </w:t>
      </w:r>
      <w:proofErr w:type="spellStart"/>
      <w:r>
        <w:rPr>
          <w:color w:val="000000"/>
        </w:rPr>
        <w:t>OBD</w:t>
      </w:r>
      <w:proofErr w:type="spellEnd"/>
      <w:r>
        <w:rPr>
          <w:color w:val="000000"/>
        </w:rPr>
        <w:t>-II inputs remains an open problem this paper does not solve.</w:t>
      </w:r>
    </w:p>
    <w:p w:rsidR="00FF3D98" w:rsidRDefault="00E568FA">
      <w:pPr>
        <w:numPr>
          <w:ilvl w:val="0"/>
          <w:numId w:val="1"/>
        </w:numPr>
        <w:pBdr>
          <w:top w:val="nil"/>
          <w:left w:val="nil"/>
          <w:bottom w:val="nil"/>
          <w:right w:val="nil"/>
          <w:between w:val="nil"/>
        </w:pBdr>
        <w:spacing w:after="100"/>
      </w:pPr>
      <w:r>
        <w:rPr>
          <w:color w:val="000000"/>
        </w:rPr>
        <w:t>The dashboard's recomm</w:t>
      </w:r>
      <w:r>
        <w:rPr>
          <w:color w:val="000000"/>
        </w:rPr>
        <w:t>ended-checks mappings (Tables IX and X) are rules-based lookups from a predicted condition to standard diagnostic steps, not learned recommendations; validating them against real repair outcomes is a natural extension.</w:t>
      </w:r>
    </w:p>
    <w:p w:rsidR="00FF3D98" w:rsidRDefault="00E568FA">
      <w:pPr>
        <w:numPr>
          <w:ilvl w:val="0"/>
          <w:numId w:val="1"/>
        </w:numPr>
        <w:pBdr>
          <w:top w:val="nil"/>
          <w:left w:val="nil"/>
          <w:bottom w:val="nil"/>
          <w:right w:val="nil"/>
          <w:between w:val="nil"/>
        </w:pBdr>
        <w:spacing w:after="100"/>
      </w:pPr>
      <w:r>
        <w:rPr>
          <w:color w:val="000000"/>
        </w:rPr>
        <w:t>Both trained models were evaluated on</w:t>
      </w:r>
      <w:r>
        <w:rPr>
          <w:color w:val="000000"/>
        </w:rPr>
        <w:t xml:space="preserve"> data collected under controlled conditions on a limited number of engine configurations (</w:t>
      </w:r>
      <w:proofErr w:type="spellStart"/>
      <w:r>
        <w:rPr>
          <w:color w:val="000000"/>
        </w:rPr>
        <w:t>EngineFaultDB</w:t>
      </w:r>
      <w:proofErr w:type="spellEnd"/>
      <w:r>
        <w:rPr>
          <w:color w:val="000000"/>
        </w:rPr>
        <w:t>: a single C14NE spark-ignition engine; primary dataset: the source study's original data-collection protocol). Neither has yet been validated against re</w:t>
      </w:r>
      <w:r>
        <w:rPr>
          <w:color w:val="000000"/>
        </w:rPr>
        <w:t xml:space="preserve">adings taken directly from a physical </w:t>
      </w:r>
      <w:proofErr w:type="spellStart"/>
      <w:r>
        <w:rPr>
          <w:color w:val="000000"/>
        </w:rPr>
        <w:t>OBD</w:t>
      </w:r>
      <w:proofErr w:type="spellEnd"/>
      <w:r>
        <w:rPr>
          <w:color w:val="000000"/>
        </w:rPr>
        <w:t>-II scanner on a live, heterogeneous vehicle fleet; that field validation is the most important remaining step before either mode is used for an unsupervised maintenance decision, and is the natural next collaborati</w:t>
      </w:r>
      <w:r>
        <w:rPr>
          <w:color w:val="000000"/>
        </w:rPr>
        <w:t>on once this paper is published and the tools described in Section VI are available for companies and engineers to test directly.</w:t>
      </w:r>
    </w:p>
    <w:p w:rsidR="00FF3D98" w:rsidRDefault="00E568FA">
      <w:pPr>
        <w:pStyle w:val="Heading1"/>
      </w:pPr>
      <w:r>
        <w:t>IX. Conclusion</w:t>
      </w:r>
    </w:p>
    <w:p w:rsidR="00FF3D98" w:rsidRDefault="00E568FA">
      <w:pPr>
        <w:spacing w:after="160"/>
        <w:jc w:val="both"/>
      </w:pPr>
      <w:r>
        <w:t>This paper directly answers the original thesis's [9] own recommendations for future work: it benchmarks altern</w:t>
      </w:r>
      <w:r>
        <w:t>ative machine learning models against the original decision tree, on the original dataset [9], [12], and confirms that ensemble and boosting methods, specifically a class-balanced Random Forest followed by a validation-tuned Gradient Boosting Classifier, i</w:t>
      </w:r>
      <w:r>
        <w:t>mprove macro-F1 (0.607 to 0.632) and nearly double fault-detection recall (34.5% to 63.8%) while independently validating Engine RPM as the dominant diagnostic signal the original thesis identified. It further extends the underlying approach into a two-sta</w:t>
      </w:r>
      <w:r>
        <w:t xml:space="preserve">ge Random Forest pipeline, validated on the peer-reviewed </w:t>
      </w:r>
      <w:proofErr w:type="spellStart"/>
      <w:r>
        <w:t>EngineFaultDB</w:t>
      </w:r>
      <w:proofErr w:type="spellEnd"/>
      <w:r>
        <w:t xml:space="preserve"> dataset [1], that detects faulty engine conditions with perfect accuracy and additionally provides a probable root cause, closing the gap between “something is wrong” and “here is what</w:t>
      </w:r>
      <w:r>
        <w:t xml:space="preserve"> to check.” Every input feature used by both models is explicitly mapped to its </w:t>
      </w:r>
      <w:proofErr w:type="spellStart"/>
      <w:r>
        <w:t>OBD</w:t>
      </w:r>
      <w:proofErr w:type="spellEnd"/>
      <w:r>
        <w:t>-II or ECU availability (Section III-D), so that the more field-realistic six-parameter model is clearly identified as the one intended for deployment via a generic scanner.</w:t>
      </w:r>
      <w:r>
        <w:t xml:space="preserve"> Both contributions are benchmarked against classical baselines with full mathematical formulation, and both trained models are packaged as a single working, dependency-free, two-mode diagnostic dashboard publicly deployed at </w:t>
      </w:r>
    </w:p>
    <w:p w:rsidR="00FF3D98" w:rsidRDefault="00E568FA">
      <w:pPr>
        <w:spacing w:after="200"/>
        <w:jc w:val="both"/>
      </w:pPr>
      <w:hyperlink r:id="rId16">
        <w:r>
          <w:rPr>
            <w:color w:val="0563C1"/>
            <w:u w:val="single"/>
          </w:rPr>
          <w:t>https://engine-dashboard.netlify.app/</w:t>
        </w:r>
      </w:hyperlink>
      <w:r>
        <w:t>, demonstrating a practical path from a classroom classification exercise to a tool a working technician could use today.</w:t>
      </w:r>
    </w:p>
    <w:p w:rsidR="00FF3D98" w:rsidRDefault="00FF3D98">
      <w:pPr>
        <w:pStyle w:val="Heading1"/>
      </w:pPr>
    </w:p>
    <w:p w:rsidR="00FF3D98" w:rsidRDefault="00FF3D98">
      <w:pPr>
        <w:pStyle w:val="Heading1"/>
      </w:pPr>
    </w:p>
    <w:p w:rsidR="00FF3D98" w:rsidRDefault="00FF3D98">
      <w:pPr>
        <w:pStyle w:val="Heading1"/>
      </w:pPr>
    </w:p>
    <w:p w:rsidR="00FF3D98" w:rsidRDefault="00FF3D98">
      <w:pPr>
        <w:pStyle w:val="Heading1"/>
      </w:pPr>
    </w:p>
    <w:p w:rsidR="00FF3D98" w:rsidRDefault="00FF3D98">
      <w:pPr>
        <w:pStyle w:val="Heading1"/>
      </w:pPr>
    </w:p>
    <w:p w:rsidR="00FF3D98" w:rsidRDefault="00E568FA">
      <w:pPr>
        <w:pStyle w:val="Heading1"/>
      </w:pPr>
      <w:r>
        <w:t>References</w:t>
      </w:r>
    </w:p>
    <w:p w:rsidR="00FF3D98" w:rsidRDefault="00E568FA">
      <w:pPr>
        <w:spacing w:after="140"/>
        <w:ind w:left="360" w:hanging="360"/>
      </w:pPr>
      <w:r>
        <w:t>[1] M. Vergara, L. Ramos, N. D. Rivera-</w:t>
      </w:r>
      <w:proofErr w:type="spellStart"/>
      <w:r>
        <w:t>Campoverde</w:t>
      </w:r>
      <w:proofErr w:type="spellEnd"/>
      <w:r>
        <w:t>, and F. Rivas-</w:t>
      </w:r>
      <w:proofErr w:type="spellStart"/>
      <w:r>
        <w:t>Echeverría</w:t>
      </w:r>
      <w:proofErr w:type="spellEnd"/>
      <w:r>
        <w:t>, “</w:t>
      </w:r>
      <w:proofErr w:type="spellStart"/>
      <w:r>
        <w:t>EngineFaultDB</w:t>
      </w:r>
      <w:proofErr w:type="spellEnd"/>
      <w:r>
        <w:t xml:space="preserve">: A novel dataset for automotive engine fault classification and baseline results,” IEEE Access, vol. 11, pp. 126155–126171, 2023, </w:t>
      </w:r>
      <w:proofErr w:type="spellStart"/>
      <w:r>
        <w:t>doi</w:t>
      </w:r>
      <w:proofErr w:type="spellEnd"/>
      <w:r>
        <w:t>: 10.1109/ACCESS.2023.3331316.</w:t>
      </w:r>
    </w:p>
    <w:p w:rsidR="00FF3D98" w:rsidRDefault="00E568FA">
      <w:pPr>
        <w:spacing w:after="140"/>
        <w:ind w:left="360" w:hanging="360"/>
      </w:pPr>
      <w:r>
        <w:t>[</w:t>
      </w:r>
      <w:r>
        <w:t xml:space="preserve">2] E. T. </w:t>
      </w:r>
      <w:proofErr w:type="spellStart"/>
      <w:r>
        <w:t>Michailidis</w:t>
      </w:r>
      <w:proofErr w:type="spellEnd"/>
      <w:r>
        <w:t xml:space="preserve">, A. </w:t>
      </w:r>
      <w:proofErr w:type="spellStart"/>
      <w:r>
        <w:t>Panagiotopoulou</w:t>
      </w:r>
      <w:proofErr w:type="spellEnd"/>
      <w:r>
        <w:t xml:space="preserve">, and A. Papadakis, “A review of </w:t>
      </w:r>
      <w:proofErr w:type="spellStart"/>
      <w:r>
        <w:t>OBD</w:t>
      </w:r>
      <w:proofErr w:type="spellEnd"/>
      <w:r>
        <w:t xml:space="preserve">-II-based machine learning applications for sustainable, efficient, secure, and safe vehicle driving,” Sensors, vol. 25, no. 13, art. 4057, 2025, </w:t>
      </w:r>
      <w:proofErr w:type="spellStart"/>
      <w:r>
        <w:t>doi</w:t>
      </w:r>
      <w:proofErr w:type="spellEnd"/>
      <w:r>
        <w:t>: 10.3390/s25134057.</w:t>
      </w:r>
    </w:p>
    <w:p w:rsidR="00FF3D98" w:rsidRDefault="00E568FA">
      <w:pPr>
        <w:spacing w:after="140"/>
        <w:ind w:left="360" w:hanging="360"/>
      </w:pPr>
      <w:r>
        <w:t>[3] A. Pér</w:t>
      </w:r>
      <w:r>
        <w:t xml:space="preserve">ez-Vázquez, M. </w:t>
      </w:r>
      <w:proofErr w:type="spellStart"/>
      <w:r>
        <w:t>Anzures</w:t>
      </w:r>
      <w:proofErr w:type="spellEnd"/>
      <w:r>
        <w:t>-García, and L. A. Sánchez-</w:t>
      </w:r>
      <w:proofErr w:type="spellStart"/>
      <w:r>
        <w:t>Gálvez</w:t>
      </w:r>
      <w:proofErr w:type="spellEnd"/>
      <w:r>
        <w:t xml:space="preserve">, “Vehicle engine fault diagnosis approach based on a decision tree and knowledge base,” Int. J. Combinatorial Optimization Problems and Informatics, vol. 15, no. 2, pp. 185–197, 2024, </w:t>
      </w:r>
      <w:proofErr w:type="spellStart"/>
      <w:r>
        <w:t>doi</w:t>
      </w:r>
      <w:proofErr w:type="spellEnd"/>
      <w:r>
        <w:t>: 10.61467/20</w:t>
      </w:r>
      <w:r>
        <w:t>07.</w:t>
      </w:r>
      <w:proofErr w:type="gramStart"/>
      <w:r>
        <w:t>1558.2024.v</w:t>
      </w:r>
      <w:proofErr w:type="gramEnd"/>
      <w:r>
        <w:t>15i2.450.</w:t>
      </w:r>
    </w:p>
    <w:p w:rsidR="00FF3D98" w:rsidRDefault="00E568FA">
      <w:pPr>
        <w:spacing w:after="140"/>
        <w:ind w:left="360" w:hanging="360"/>
      </w:pPr>
      <w:r>
        <w:t xml:space="preserve">[4] R. Quan, J. Zhang, and Z. Feng, “Remote fault diagnosis for the powertrain system of fuel cell vehicles based on random forest optimized with a genetic algorithm,” Sensors, vol. 24, no. 4, art. 1138, 2024, </w:t>
      </w:r>
      <w:proofErr w:type="spellStart"/>
      <w:r>
        <w:t>doi</w:t>
      </w:r>
      <w:proofErr w:type="spellEnd"/>
      <w:r>
        <w:t>: 10.3390/s24041138</w:t>
      </w:r>
      <w:r>
        <w:t>.</w:t>
      </w:r>
    </w:p>
    <w:p w:rsidR="00FF3D98" w:rsidRDefault="00E568FA">
      <w:pPr>
        <w:spacing w:after="140"/>
        <w:ind w:left="360" w:hanging="360"/>
      </w:pPr>
      <w:r>
        <w:t xml:space="preserve">[5] M. N. Hossain, M. M. Rahman, and D. Ramasamy, “Artificial intelligence-driven vehicle fault diagnosis to revolutionize automotive maintenance: A review,” Computer </w:t>
      </w:r>
      <w:proofErr w:type="spellStart"/>
      <w:r>
        <w:t>Modeling</w:t>
      </w:r>
      <w:proofErr w:type="spellEnd"/>
      <w:r>
        <w:t xml:space="preserve"> in Engineering &amp; Sciences, vol. 141, no. 2, pp. 951–996, 2024, </w:t>
      </w:r>
      <w:proofErr w:type="spellStart"/>
      <w:r>
        <w:t>doi</w:t>
      </w:r>
      <w:proofErr w:type="spellEnd"/>
      <w:r>
        <w:t>: 10.32604/cme</w:t>
      </w:r>
      <w:r>
        <w:t>s.2024.056022.</w:t>
      </w:r>
    </w:p>
    <w:p w:rsidR="00FF3D98" w:rsidRDefault="00E568FA">
      <w:pPr>
        <w:spacing w:after="140"/>
        <w:ind w:left="360" w:hanging="360"/>
      </w:pPr>
      <w:r>
        <w:t xml:space="preserve">[6] L. </w:t>
      </w:r>
      <w:proofErr w:type="spellStart"/>
      <w:r>
        <w:t>Breiman</w:t>
      </w:r>
      <w:proofErr w:type="spellEnd"/>
      <w:r>
        <w:t xml:space="preserve">, “Random forests,” Machine Learning, vol. 45, no. 1, pp. 5–32, 2001, </w:t>
      </w:r>
      <w:proofErr w:type="spellStart"/>
      <w:r>
        <w:t>doi</w:t>
      </w:r>
      <w:proofErr w:type="spellEnd"/>
      <w:r>
        <w:t>: 10.1023/A:1010933404324.</w:t>
      </w:r>
    </w:p>
    <w:p w:rsidR="00FF3D98" w:rsidRDefault="00E568FA">
      <w:pPr>
        <w:spacing w:after="140"/>
        <w:ind w:left="360" w:hanging="360"/>
      </w:pPr>
      <w:r>
        <w:t xml:space="preserve">[7] L. </w:t>
      </w:r>
      <w:proofErr w:type="spellStart"/>
      <w:r>
        <w:t>Breiman</w:t>
      </w:r>
      <w:proofErr w:type="spellEnd"/>
      <w:r>
        <w:t xml:space="preserve">, J. H. Friedman, R. A. </w:t>
      </w:r>
      <w:proofErr w:type="spellStart"/>
      <w:r>
        <w:t>Olshen</w:t>
      </w:r>
      <w:proofErr w:type="spellEnd"/>
      <w:r>
        <w:t>, and C. J. Stone, Classification and Regression Trees. Monterey, CA, USA: Wadswort</w:t>
      </w:r>
      <w:r>
        <w:t>h &amp; Brooks/Cole, 1984.</w:t>
      </w:r>
    </w:p>
    <w:p w:rsidR="00FF3D98" w:rsidRDefault="00E568FA">
      <w:pPr>
        <w:spacing w:after="140"/>
        <w:ind w:left="360" w:hanging="360"/>
      </w:pPr>
      <w:r>
        <w:t>[8] G. H. John and P. Langley, “Estimating continuous distributions in Bayesian classifiers,” in Proc. 11th Conf. Uncertainty in Artificial Intelligence (</w:t>
      </w:r>
      <w:proofErr w:type="spellStart"/>
      <w:r>
        <w:t>UAI</w:t>
      </w:r>
      <w:proofErr w:type="spellEnd"/>
      <w:r>
        <w:t>), Montreal, Canada, 1995, pp. 338–345.</w:t>
      </w:r>
    </w:p>
    <w:p w:rsidR="00FF3D98" w:rsidRDefault="00E568FA">
      <w:pPr>
        <w:spacing w:after="140"/>
        <w:ind w:left="360" w:hanging="360"/>
      </w:pPr>
      <w:r>
        <w:t xml:space="preserve">[9] N. </w:t>
      </w:r>
      <w:proofErr w:type="spellStart"/>
      <w:r>
        <w:t>Umurie</w:t>
      </w:r>
      <w:proofErr w:type="spellEnd"/>
      <w:r>
        <w:t>, “Development of a dec</w:t>
      </w:r>
      <w:r>
        <w:t>ision tree-based predictive model for condition-based fault detection in automobile engines,” B.Eng. dissertation, Dept. Mechanical Eng., Covenant Univ., Ota, Nigeria, 2025.</w:t>
      </w:r>
    </w:p>
    <w:p w:rsidR="00FF3D98" w:rsidRDefault="00E568FA">
      <w:pPr>
        <w:spacing w:after="140"/>
        <w:ind w:left="360" w:hanging="360"/>
      </w:pPr>
      <w:r>
        <w:t xml:space="preserve">[10] T. P. Carvalho, F. A. A. M. N. Soares, R. Vita, R. P. Francisco, J. P. </w:t>
      </w:r>
      <w:proofErr w:type="spellStart"/>
      <w:r>
        <w:t>Basto</w:t>
      </w:r>
      <w:proofErr w:type="spellEnd"/>
      <w:r>
        <w:t>,</w:t>
      </w:r>
      <w:r>
        <w:t xml:space="preserve"> and S. G. S. Alcala, “A systematic literature review of machine learning methods applied to predictive maintenance,” Computers &amp; Industrial Engineering, vol. 137, art. 106024, 2019, </w:t>
      </w:r>
      <w:proofErr w:type="spellStart"/>
      <w:r>
        <w:t>doi</w:t>
      </w:r>
      <w:proofErr w:type="spellEnd"/>
      <w:r>
        <w:t>: 10.1016/j.cie.2019.106024.</w:t>
      </w:r>
    </w:p>
    <w:p w:rsidR="00FF3D98" w:rsidRDefault="00E568FA">
      <w:pPr>
        <w:spacing w:after="140"/>
        <w:ind w:left="360" w:hanging="360"/>
      </w:pPr>
      <w:r>
        <w:lastRenderedPageBreak/>
        <w:t xml:space="preserve">[11] A. K. S. Jardine, D. Lin, and D. </w:t>
      </w:r>
      <w:proofErr w:type="spellStart"/>
      <w:r>
        <w:t>Ban</w:t>
      </w:r>
      <w:r>
        <w:t>jevic</w:t>
      </w:r>
      <w:proofErr w:type="spellEnd"/>
      <w:r>
        <w:t xml:space="preserve">, “A review on machinery diagnostics and prognostics implementing condition-based maintenance,” Mechanical Systems and Signal Processing, vol. 20, no. 7, pp. 1483–1510, 2006, </w:t>
      </w:r>
      <w:proofErr w:type="spellStart"/>
      <w:r>
        <w:t>doi</w:t>
      </w:r>
      <w:proofErr w:type="spellEnd"/>
      <w:r>
        <w:t>: 10.1016/j.ymssp.2005.09.012.</w:t>
      </w:r>
    </w:p>
    <w:p w:rsidR="00FF3D98" w:rsidRDefault="00E568FA">
      <w:pPr>
        <w:spacing w:after="140"/>
        <w:ind w:left="360" w:hanging="360"/>
      </w:pPr>
      <w:r>
        <w:t xml:space="preserve">[12] P. Modi, “Automotive vehicles engine </w:t>
      </w:r>
      <w:r>
        <w:t>health dataset,” Kaggle, 2023. [Online]. Available: https://www.kaggle.com/datasets/parvmodi/automotive-vehicles-engine-health-dataset</w:t>
      </w:r>
    </w:p>
    <w:p w:rsidR="00FF3D98" w:rsidRDefault="00E568FA">
      <w:pPr>
        <w:spacing w:after="140"/>
        <w:ind w:left="360" w:hanging="360"/>
      </w:pPr>
      <w:r>
        <w:t>[13] J. H. Friedman, “Greedy function approximation: A gradient boosting machine,” Ann. Statist., vol. 29, no. 5, pp. 118</w:t>
      </w:r>
      <w:r>
        <w:t xml:space="preserve">9–1232, 2001, </w:t>
      </w:r>
      <w:proofErr w:type="spellStart"/>
      <w:r>
        <w:t>doi</w:t>
      </w:r>
      <w:proofErr w:type="spellEnd"/>
      <w:r>
        <w:t>: 10.1214/</w:t>
      </w:r>
      <w:proofErr w:type="spellStart"/>
      <w:r>
        <w:t>aos</w:t>
      </w:r>
      <w:proofErr w:type="spellEnd"/>
      <w:r>
        <w:t>/1013203451.</w:t>
      </w:r>
    </w:p>
    <w:sectPr w:rsidR="00FF3D98">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E93FF0C-7DB9-4721-83CA-DB40EBB05C43}"/>
  </w:font>
  <w:font w:name="Cardo">
    <w:charset w:val="00"/>
    <w:family w:val="auto"/>
    <w:pitch w:val="default"/>
    <w:embedRegular r:id="rId2" w:fontKey="{C728EDD4-CA25-41B4-9B9F-E623F682B120}"/>
    <w:embedBold r:id="rId3" w:fontKey="{2F6C388C-BCDA-4D00-B949-D23BD631E536}"/>
  </w:font>
  <w:font w:name="Caudex">
    <w:charset w:val="00"/>
    <w:family w:val="auto"/>
    <w:pitch w:val="default"/>
    <w:embedRegular r:id="rId4" w:fontKey="{598A6BA9-CB23-41B1-83E5-D08459DD7E23}"/>
    <w:embedItalic r:id="rId5" w:fontKey="{D2D0869E-BB6F-4BE1-BF10-F4EFD1D80C42}"/>
  </w:font>
  <w:font w:name="Gungsuh">
    <w:charset w:val="81"/>
    <w:family w:val="roman"/>
    <w:pitch w:val="variable"/>
    <w:sig w:usb0="B00002AF" w:usb1="69D77CFB" w:usb2="00000030" w:usb3="00000000" w:csb0="0008009F" w:csb1="00000000"/>
    <w:embedRegular r:id="rId6" w:subsetted="1" w:fontKey="{D21B059C-98AB-4B13-9E0C-6FAC59581833}"/>
  </w:font>
  <w:font w:name="Calibri">
    <w:panose1 w:val="020F0502020204030204"/>
    <w:charset w:val="00"/>
    <w:family w:val="swiss"/>
    <w:pitch w:val="variable"/>
    <w:sig w:usb0="E4002EFF" w:usb1="C200247B" w:usb2="00000009" w:usb3="00000000" w:csb0="000001FF" w:csb1="00000000"/>
    <w:embedRegular r:id="rId7" w:fontKey="{5F070FBA-117A-4A70-BD39-5BAFC0FA7FAC}"/>
  </w:font>
  <w:font w:name="Cambria">
    <w:panose1 w:val="02040503050406030204"/>
    <w:charset w:val="00"/>
    <w:family w:val="roman"/>
    <w:pitch w:val="variable"/>
    <w:sig w:usb0="E00006FF" w:usb1="420024FF" w:usb2="02000000" w:usb3="00000000" w:csb0="0000019F" w:csb1="00000000"/>
    <w:embedRegular r:id="rId8" w:fontKey="{C740B6CD-C799-4D86-91E5-910A3FA2BC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85097"/>
    <w:multiLevelType w:val="multilevel"/>
    <w:tmpl w:val="D4AEC958"/>
    <w:lvl w:ilvl="0">
      <w:start w:val="1"/>
      <w:numFmt w:val="decimal"/>
      <w:lvlText w:val="%1."/>
      <w:lvlJc w:val="left"/>
      <w:pPr>
        <w:ind w:left="560" w:hanging="2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5E038D0"/>
    <w:multiLevelType w:val="multilevel"/>
    <w:tmpl w:val="951CB9AA"/>
    <w:lvl w:ilvl="0">
      <w:start w:val="1"/>
      <w:numFmt w:val="bullet"/>
      <w:lvlText w:val="•"/>
      <w:lvlJc w:val="left"/>
      <w:pPr>
        <w:ind w:left="560" w:hanging="2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D98"/>
    <w:rsid w:val="00066263"/>
    <w:rsid w:val="002758C0"/>
    <w:rsid w:val="00483610"/>
    <w:rsid w:val="00503206"/>
    <w:rsid w:val="00BC0BF8"/>
    <w:rsid w:val="00E568FA"/>
    <w:rsid w:val="00FF3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2069C"/>
  <w15:docId w15:val="{0870DD7B-AB3B-45D5-BE35-AD1214AA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20" w:after="180"/>
      <w:outlineLvl w:val="0"/>
    </w:pPr>
    <w:rPr>
      <w:b/>
      <w:bCs/>
      <w:color w:val="000000"/>
      <w:sz w:val="26"/>
      <w:szCs w:val="26"/>
    </w:rPr>
  </w:style>
  <w:style w:type="paragraph" w:styleId="Heading2">
    <w:name w:val="heading 2"/>
    <w:basedOn w:val="Normal"/>
    <w:next w:val="Normal"/>
    <w:uiPriority w:val="9"/>
    <w:unhideWhenUsed/>
    <w:qFormat/>
    <w:pPr>
      <w:pBdr>
        <w:top w:val="nil"/>
        <w:left w:val="nil"/>
        <w:bottom w:val="nil"/>
        <w:right w:val="nil"/>
        <w:between w:val="nil"/>
      </w:pBdr>
      <w:spacing w:before="220" w:after="120"/>
      <w:outlineLvl w:val="1"/>
    </w:pPr>
    <w:rPr>
      <w:b/>
      <w:bCs/>
      <w:i/>
      <w:iCs/>
      <w:color w:val="000000"/>
      <w:sz w:val="23"/>
      <w:szCs w:val="23"/>
    </w:rPr>
  </w:style>
  <w:style w:type="paragraph" w:styleId="Heading3">
    <w:name w:val="heading 3"/>
    <w:basedOn w:val="Normal"/>
    <w:next w:val="Normal"/>
    <w:uiPriority w:val="9"/>
    <w:unhideWhenUsed/>
    <w:qFormat/>
    <w:pPr>
      <w:pBdr>
        <w:top w:val="nil"/>
        <w:left w:val="nil"/>
        <w:bottom w:val="nil"/>
        <w:right w:val="nil"/>
        <w:between w:val="nil"/>
      </w:pBdr>
      <w:spacing w:before="160" w:after="100"/>
      <w:outlineLvl w:val="2"/>
    </w:pPr>
    <w:rPr>
      <w:b/>
      <w:bCs/>
      <w:color w:val="000000"/>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gine-dashboard.netlify.ap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gine-dashboard.netlify.ap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23</Pages>
  <Words>7521</Words>
  <Characters>42870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Covenant</Company>
  <LinksUpToDate>false</LinksUpToDate>
  <CharactersWithSpaces>50291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Morounfoluwa John</cp:lastModifiedBy>
  <cp:revision>2</cp:revision>
  <dcterms:created xsi:type="dcterms:W3CDTF">2026-07-03T23:09:00Z</dcterms:created>
  <dcterms:modified xsi:type="dcterms:W3CDTF">2026-07-04T00:14:00Z</dcterms:modified>
</cp:coreProperties>
</file>